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078" w:rsidRPr="008F39E8" w:rsidRDefault="00E04912" w:rsidP="00E04912">
      <w:pPr>
        <w:pStyle w:val="Default"/>
        <w:jc w:val="center"/>
        <w:rPr>
          <w:sz w:val="40"/>
          <w:szCs w:val="40"/>
        </w:rPr>
      </w:pPr>
      <w:r w:rsidRPr="008F39E8">
        <w:rPr>
          <w:sz w:val="40"/>
          <w:szCs w:val="40"/>
        </w:rPr>
        <w:t>Southern California Indian Center</w:t>
      </w:r>
    </w:p>
    <w:p w:rsidR="00E04912" w:rsidRDefault="00E04912" w:rsidP="00E04912">
      <w:pPr>
        <w:pStyle w:val="Default"/>
        <w:jc w:val="center"/>
        <w:rPr>
          <w:sz w:val="23"/>
          <w:szCs w:val="23"/>
        </w:rPr>
      </w:pPr>
      <w:r>
        <w:rPr>
          <w:sz w:val="23"/>
          <w:szCs w:val="23"/>
        </w:rPr>
        <w:t>Presents</w:t>
      </w:r>
    </w:p>
    <w:p w:rsidR="00E04912" w:rsidRPr="00A75DC0" w:rsidRDefault="00E04912" w:rsidP="00E04912">
      <w:pPr>
        <w:pStyle w:val="Default"/>
        <w:jc w:val="center"/>
        <w:rPr>
          <w:sz w:val="40"/>
          <w:szCs w:val="40"/>
        </w:rPr>
      </w:pPr>
      <w:r w:rsidRPr="00A75DC0">
        <w:rPr>
          <w:sz w:val="40"/>
          <w:szCs w:val="40"/>
        </w:rPr>
        <w:t xml:space="preserve">A </w:t>
      </w:r>
      <w:r w:rsidR="00765899">
        <w:rPr>
          <w:sz w:val="40"/>
          <w:szCs w:val="40"/>
        </w:rPr>
        <w:t xml:space="preserve">Practical </w:t>
      </w:r>
      <w:r w:rsidRPr="00A75DC0">
        <w:rPr>
          <w:sz w:val="40"/>
          <w:szCs w:val="40"/>
        </w:rPr>
        <w:t>Guide to Indian Child Welfare Act (</w:t>
      </w:r>
      <w:r w:rsidR="0082604A" w:rsidRPr="00A75DC0">
        <w:rPr>
          <w:sz w:val="40"/>
          <w:szCs w:val="40"/>
        </w:rPr>
        <w:t>ICWA)</w:t>
      </w:r>
    </w:p>
    <w:p w:rsidR="00652581" w:rsidRDefault="00652581" w:rsidP="00E04912">
      <w:pPr>
        <w:pStyle w:val="Default"/>
        <w:jc w:val="center"/>
        <w:rPr>
          <w:sz w:val="28"/>
          <w:szCs w:val="28"/>
        </w:rPr>
      </w:pPr>
      <w:r w:rsidRPr="00A75DC0">
        <w:rPr>
          <w:sz w:val="28"/>
          <w:szCs w:val="28"/>
        </w:rPr>
        <w:t>Honorable</w:t>
      </w:r>
      <w:r w:rsidR="00E04912" w:rsidRPr="00A75DC0">
        <w:rPr>
          <w:sz w:val="28"/>
          <w:szCs w:val="28"/>
        </w:rPr>
        <w:t xml:space="preserve"> William A Thorn</w:t>
      </w:r>
      <w:r w:rsidR="00765899">
        <w:rPr>
          <w:sz w:val="28"/>
          <w:szCs w:val="28"/>
        </w:rPr>
        <w:t>e</w:t>
      </w:r>
      <w:r w:rsidR="00E04912" w:rsidRPr="00A75DC0">
        <w:rPr>
          <w:sz w:val="28"/>
          <w:szCs w:val="28"/>
        </w:rPr>
        <w:t xml:space="preserve">, Jr. (Ret) </w:t>
      </w:r>
      <w:r w:rsidRPr="00A75DC0">
        <w:rPr>
          <w:sz w:val="28"/>
          <w:szCs w:val="28"/>
        </w:rPr>
        <w:t>Utah Court of Appeals</w:t>
      </w:r>
    </w:p>
    <w:p w:rsidR="00374083" w:rsidRPr="00926C06" w:rsidRDefault="00374083" w:rsidP="00E04912">
      <w:pPr>
        <w:pStyle w:val="Default"/>
        <w:jc w:val="center"/>
        <w:rPr>
          <w:i/>
          <w:sz w:val="20"/>
          <w:szCs w:val="20"/>
        </w:rPr>
      </w:pPr>
      <w:r w:rsidRPr="00926C06">
        <w:rPr>
          <w:rFonts w:cs="Tahoma"/>
          <w:i/>
          <w:color w:val="auto"/>
          <w:sz w:val="20"/>
          <w:szCs w:val="20"/>
        </w:rPr>
        <w:t>Pomo/Coast Miwok Indian from northern California enrolled at the Confederated</w:t>
      </w:r>
      <w:r w:rsidR="00926C06" w:rsidRPr="00926C06">
        <w:rPr>
          <w:rFonts w:cs="Tahoma"/>
          <w:i/>
          <w:color w:val="auto"/>
          <w:sz w:val="20"/>
          <w:szCs w:val="20"/>
        </w:rPr>
        <w:t xml:space="preserve"> Tribes of the Graton Rancheria</w:t>
      </w:r>
    </w:p>
    <w:p w:rsidR="0082604A" w:rsidRPr="0082604A" w:rsidRDefault="0082604A" w:rsidP="00E04912">
      <w:pPr>
        <w:pStyle w:val="Default"/>
        <w:jc w:val="center"/>
      </w:pPr>
      <w:r w:rsidRPr="0082604A">
        <w:t>MCLE Credits (Approval Pending): 2.5 Continuing Legal Education Credits</w:t>
      </w:r>
    </w:p>
    <w:p w:rsidR="0082604A" w:rsidRPr="0082604A" w:rsidRDefault="00E76455" w:rsidP="0082604A">
      <w:pPr>
        <w:pStyle w:val="Default"/>
        <w:ind w:left="4320"/>
      </w:pPr>
      <w:r>
        <w:t xml:space="preserve">         </w:t>
      </w:r>
      <w:bookmarkStart w:id="0" w:name="_GoBack"/>
      <w:bookmarkEnd w:id="0"/>
      <w:r w:rsidR="0082604A" w:rsidRPr="0082604A">
        <w:t>1.5 Elimination of Bias Credits</w:t>
      </w:r>
    </w:p>
    <w:p w:rsidR="008273D1" w:rsidRDefault="008273D1" w:rsidP="00E570AA">
      <w:pPr>
        <w:autoSpaceDE w:val="0"/>
        <w:autoSpaceDN w:val="0"/>
        <w:adjustRightInd w:val="0"/>
        <w:spacing w:after="0" w:line="240" w:lineRule="auto"/>
        <w:rPr>
          <w:rFonts w:ascii="Arial" w:hAnsi="Arial" w:cs="Arial"/>
          <w:b/>
          <w:color w:val="1F497D" w:themeColor="text2"/>
          <w:sz w:val="20"/>
          <w:szCs w:val="20"/>
        </w:rPr>
      </w:pPr>
    </w:p>
    <w:p w:rsidR="00652581" w:rsidRDefault="00652581" w:rsidP="00652581">
      <w:pPr>
        <w:autoSpaceDE w:val="0"/>
        <w:autoSpaceDN w:val="0"/>
        <w:adjustRightInd w:val="0"/>
        <w:spacing w:after="0" w:line="240" w:lineRule="auto"/>
        <w:rPr>
          <w:rFonts w:ascii="Palatino Linotype" w:hAnsi="Palatino Linotype" w:cs="Times New Roman"/>
          <w:color w:val="000000"/>
          <w:sz w:val="28"/>
          <w:szCs w:val="28"/>
        </w:rPr>
      </w:pPr>
    </w:p>
    <w:tbl>
      <w:tblPr>
        <w:tblStyle w:val="TableGrid"/>
        <w:tblW w:w="10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9"/>
        <w:gridCol w:w="2489"/>
        <w:gridCol w:w="541"/>
        <w:gridCol w:w="5619"/>
      </w:tblGrid>
      <w:tr w:rsidR="008273D1" w:rsidTr="00E1649C">
        <w:trPr>
          <w:trHeight w:val="821"/>
        </w:trPr>
        <w:tc>
          <w:tcPr>
            <w:tcW w:w="2139" w:type="dxa"/>
            <w:shd w:val="clear" w:color="auto" w:fill="DBE5F1" w:themeFill="accent1" w:themeFillTint="33"/>
            <w:textDirection w:val="tbRl"/>
            <w:vAlign w:val="bottom"/>
          </w:tcPr>
          <w:p w:rsidR="008273D1" w:rsidRPr="003A48F4" w:rsidRDefault="008273D1" w:rsidP="003A48F4">
            <w:pPr>
              <w:autoSpaceDE w:val="0"/>
              <w:autoSpaceDN w:val="0"/>
              <w:adjustRightInd w:val="0"/>
              <w:ind w:left="113" w:right="113"/>
              <w:jc w:val="center"/>
              <w:rPr>
                <w:rFonts w:ascii="Palatino Linotype" w:hAnsi="Palatino Linotype" w:cs="Times New Roman"/>
                <w:b/>
                <w:smallCaps/>
                <w:color w:val="000000"/>
                <w:sz w:val="48"/>
                <w:szCs w:val="48"/>
              </w:rPr>
            </w:pPr>
          </w:p>
        </w:tc>
        <w:tc>
          <w:tcPr>
            <w:tcW w:w="2489" w:type="dxa"/>
            <w:shd w:val="clear" w:color="auto" w:fill="8DB3E2" w:themeFill="text2" w:themeFillTint="66"/>
          </w:tcPr>
          <w:p w:rsidR="008273D1" w:rsidRPr="003A48F4" w:rsidRDefault="008273D1" w:rsidP="00652581">
            <w:pPr>
              <w:autoSpaceDE w:val="0"/>
              <w:autoSpaceDN w:val="0"/>
              <w:adjustRightInd w:val="0"/>
              <w:rPr>
                <w:rFonts w:cs="Times New Roman"/>
                <w:b/>
                <w:color w:val="000000"/>
                <w:sz w:val="24"/>
                <w:szCs w:val="24"/>
              </w:rPr>
            </w:pPr>
          </w:p>
        </w:tc>
        <w:tc>
          <w:tcPr>
            <w:tcW w:w="541" w:type="dxa"/>
            <w:tcBorders>
              <w:right w:val="single" w:sz="18" w:space="0" w:color="4F81BD" w:themeColor="accent1"/>
            </w:tcBorders>
            <w:shd w:val="clear" w:color="auto" w:fill="4F81BD" w:themeFill="accent1"/>
          </w:tcPr>
          <w:p w:rsidR="008273D1" w:rsidRDefault="008273D1" w:rsidP="00652581">
            <w:pPr>
              <w:autoSpaceDE w:val="0"/>
              <w:autoSpaceDN w:val="0"/>
              <w:adjustRightInd w:val="0"/>
              <w:rPr>
                <w:rFonts w:ascii="Palatino Linotype" w:hAnsi="Palatino Linotype" w:cs="Times New Roman"/>
                <w:color w:val="000000"/>
                <w:sz w:val="28"/>
                <w:szCs w:val="28"/>
              </w:rPr>
            </w:pPr>
          </w:p>
        </w:tc>
        <w:tc>
          <w:tcPr>
            <w:tcW w:w="5619" w:type="dxa"/>
            <w:tcBorders>
              <w:top w:val="single" w:sz="18" w:space="0" w:color="4F81BD" w:themeColor="accent1"/>
              <w:left w:val="single" w:sz="18" w:space="0" w:color="4F81BD" w:themeColor="accent1"/>
              <w:right w:val="single" w:sz="18" w:space="0" w:color="4F81BD" w:themeColor="accent1"/>
            </w:tcBorders>
          </w:tcPr>
          <w:p w:rsidR="008273D1" w:rsidRPr="008273D1" w:rsidRDefault="008273D1" w:rsidP="00E1649C">
            <w:pPr>
              <w:autoSpaceDE w:val="0"/>
              <w:autoSpaceDN w:val="0"/>
              <w:adjustRightInd w:val="0"/>
              <w:jc w:val="center"/>
              <w:rPr>
                <w:rFonts w:ascii="Arial" w:hAnsi="Arial" w:cs="Arial"/>
                <w:b/>
                <w:color w:val="1F497D" w:themeColor="text2"/>
                <w:sz w:val="20"/>
                <w:szCs w:val="20"/>
              </w:rPr>
            </w:pPr>
            <w:r w:rsidRPr="008273D1">
              <w:rPr>
                <w:rFonts w:ascii="Arial" w:hAnsi="Arial" w:cs="Arial"/>
                <w:b/>
                <w:color w:val="1F497D" w:themeColor="text2"/>
                <w:sz w:val="20"/>
                <w:szCs w:val="20"/>
              </w:rPr>
              <w:t>Monterey Hill Restaurant, 3700 W Ramona Blvd, Monterey Park, CA 91754</w:t>
            </w:r>
          </w:p>
          <w:p w:rsidR="008273D1" w:rsidRPr="00410BA8" w:rsidRDefault="008273D1" w:rsidP="00652581">
            <w:pPr>
              <w:autoSpaceDE w:val="0"/>
              <w:autoSpaceDN w:val="0"/>
              <w:adjustRightInd w:val="0"/>
              <w:rPr>
                <w:rFonts w:cs="Times New Roman"/>
                <w:b/>
                <w:color w:val="000000"/>
                <w:sz w:val="28"/>
                <w:szCs w:val="28"/>
              </w:rPr>
            </w:pPr>
          </w:p>
        </w:tc>
      </w:tr>
      <w:tr w:rsidR="003A48F4" w:rsidTr="00E1649C">
        <w:trPr>
          <w:trHeight w:val="730"/>
        </w:trPr>
        <w:tc>
          <w:tcPr>
            <w:tcW w:w="2139" w:type="dxa"/>
            <w:vMerge w:val="restart"/>
            <w:shd w:val="clear" w:color="auto" w:fill="DBE5F1" w:themeFill="accent1" w:themeFillTint="33"/>
            <w:textDirection w:val="tbRl"/>
            <w:vAlign w:val="bottom"/>
          </w:tcPr>
          <w:p w:rsidR="00E77C95" w:rsidRPr="003A48F4" w:rsidRDefault="00E77C95" w:rsidP="003A48F4">
            <w:pPr>
              <w:autoSpaceDE w:val="0"/>
              <w:autoSpaceDN w:val="0"/>
              <w:adjustRightInd w:val="0"/>
              <w:ind w:left="113" w:right="113"/>
              <w:jc w:val="center"/>
              <w:rPr>
                <w:rFonts w:ascii="Palatino Linotype" w:hAnsi="Palatino Linotype" w:cs="Times New Roman"/>
                <w:b/>
                <w:smallCaps/>
                <w:color w:val="000000"/>
                <w:sz w:val="48"/>
                <w:szCs w:val="48"/>
              </w:rPr>
            </w:pPr>
            <w:r w:rsidRPr="003A48F4">
              <w:rPr>
                <w:rFonts w:ascii="Palatino Linotype" w:hAnsi="Palatino Linotype" w:cs="Times New Roman"/>
                <w:b/>
                <w:smallCaps/>
                <w:color w:val="000000"/>
                <w:sz w:val="48"/>
                <w:szCs w:val="48"/>
              </w:rPr>
              <w:t>Saturday</w:t>
            </w:r>
          </w:p>
          <w:p w:rsidR="00E77C95" w:rsidRPr="003A48F4" w:rsidRDefault="00E77C95" w:rsidP="003A48F4">
            <w:pPr>
              <w:autoSpaceDE w:val="0"/>
              <w:autoSpaceDN w:val="0"/>
              <w:adjustRightInd w:val="0"/>
              <w:ind w:left="113" w:right="113"/>
              <w:jc w:val="center"/>
              <w:rPr>
                <w:rFonts w:ascii="Palatino Linotype" w:hAnsi="Palatino Linotype" w:cs="Times New Roman"/>
                <w:b/>
                <w:smallCaps/>
                <w:color w:val="000000"/>
                <w:sz w:val="48"/>
                <w:szCs w:val="48"/>
              </w:rPr>
            </w:pPr>
            <w:r w:rsidRPr="003A48F4">
              <w:rPr>
                <w:rFonts w:ascii="Palatino Linotype" w:hAnsi="Palatino Linotype" w:cs="Times New Roman"/>
                <w:b/>
                <w:smallCaps/>
                <w:color w:val="000000"/>
                <w:sz w:val="48"/>
                <w:szCs w:val="48"/>
              </w:rPr>
              <w:t>April 26, 2014</w:t>
            </w:r>
          </w:p>
          <w:p w:rsidR="003A48F4" w:rsidRPr="00E77C95" w:rsidRDefault="003A48F4" w:rsidP="003A48F4">
            <w:pPr>
              <w:autoSpaceDE w:val="0"/>
              <w:autoSpaceDN w:val="0"/>
              <w:adjustRightInd w:val="0"/>
              <w:ind w:left="113" w:right="113"/>
              <w:jc w:val="center"/>
              <w:rPr>
                <w:rFonts w:ascii="Palatino Linotype" w:hAnsi="Palatino Linotype" w:cs="Times New Roman"/>
                <w:b/>
                <w:smallCaps/>
                <w:color w:val="000000"/>
                <w:sz w:val="28"/>
                <w:szCs w:val="28"/>
              </w:rPr>
            </w:pPr>
            <w:r w:rsidRPr="003A48F4">
              <w:rPr>
                <w:rFonts w:ascii="Palatino Linotype" w:hAnsi="Palatino Linotype" w:cs="Times New Roman"/>
                <w:b/>
                <w:smallCaps/>
                <w:color w:val="000000"/>
                <w:sz w:val="48"/>
                <w:szCs w:val="48"/>
              </w:rPr>
              <w:t>A Practical Guide to ICWA</w:t>
            </w:r>
          </w:p>
        </w:tc>
        <w:tc>
          <w:tcPr>
            <w:tcW w:w="2489" w:type="dxa"/>
            <w:shd w:val="clear" w:color="auto" w:fill="8DB3E2" w:themeFill="text2" w:themeFillTint="66"/>
          </w:tcPr>
          <w:p w:rsidR="00E77C95" w:rsidRPr="003A48F4" w:rsidRDefault="00E77C95" w:rsidP="00652581">
            <w:pPr>
              <w:autoSpaceDE w:val="0"/>
              <w:autoSpaceDN w:val="0"/>
              <w:adjustRightInd w:val="0"/>
              <w:rPr>
                <w:rFonts w:cs="Times New Roman"/>
                <w:b/>
                <w:color w:val="000000"/>
                <w:sz w:val="24"/>
                <w:szCs w:val="24"/>
              </w:rPr>
            </w:pPr>
            <w:r w:rsidRPr="003A48F4">
              <w:rPr>
                <w:rFonts w:cs="Times New Roman"/>
                <w:b/>
                <w:color w:val="000000"/>
                <w:sz w:val="24"/>
                <w:szCs w:val="24"/>
              </w:rPr>
              <w:t>8:00 AM</w:t>
            </w:r>
          </w:p>
        </w:tc>
        <w:tc>
          <w:tcPr>
            <w:tcW w:w="541" w:type="dxa"/>
            <w:tcBorders>
              <w:right w:val="single" w:sz="18" w:space="0" w:color="4F81BD" w:themeColor="accent1"/>
            </w:tcBorders>
            <w:shd w:val="clear" w:color="auto" w:fill="4F81BD" w:themeFill="accent1"/>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right w:val="single" w:sz="18" w:space="0" w:color="4F81BD" w:themeColor="accent1"/>
            </w:tcBorders>
          </w:tcPr>
          <w:p w:rsidR="00E77C95" w:rsidRDefault="00E77C95" w:rsidP="00652581">
            <w:pPr>
              <w:autoSpaceDE w:val="0"/>
              <w:autoSpaceDN w:val="0"/>
              <w:adjustRightInd w:val="0"/>
              <w:rPr>
                <w:rFonts w:cs="Times New Roman"/>
                <w:b/>
                <w:color w:val="000000"/>
                <w:sz w:val="28"/>
                <w:szCs w:val="28"/>
              </w:rPr>
            </w:pPr>
            <w:r w:rsidRPr="00410BA8">
              <w:rPr>
                <w:rFonts w:cs="Times New Roman"/>
                <w:b/>
                <w:color w:val="000000"/>
                <w:sz w:val="28"/>
                <w:szCs w:val="28"/>
              </w:rPr>
              <w:t>Registration</w:t>
            </w:r>
          </w:p>
          <w:p w:rsidR="008273D1" w:rsidRDefault="008273D1" w:rsidP="00652581">
            <w:pPr>
              <w:autoSpaceDE w:val="0"/>
              <w:autoSpaceDN w:val="0"/>
              <w:adjustRightInd w:val="0"/>
              <w:rPr>
                <w:rFonts w:ascii="Palatino Linotype" w:hAnsi="Palatino Linotype" w:cs="Times New Roman"/>
                <w:color w:val="000000"/>
                <w:sz w:val="28"/>
                <w:szCs w:val="28"/>
              </w:rPr>
            </w:pPr>
          </w:p>
        </w:tc>
      </w:tr>
      <w:tr w:rsidR="003A48F4" w:rsidTr="00E1649C">
        <w:trPr>
          <w:trHeight w:val="146"/>
        </w:trPr>
        <w:tc>
          <w:tcPr>
            <w:tcW w:w="2139" w:type="dxa"/>
            <w:vMerge/>
            <w:shd w:val="clear" w:color="auto" w:fill="DBE5F1" w:themeFill="accent1" w:themeFillTint="33"/>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2489" w:type="dxa"/>
            <w:shd w:val="clear" w:color="auto" w:fill="8DB3E2" w:themeFill="text2" w:themeFillTint="66"/>
          </w:tcPr>
          <w:p w:rsidR="00E77C95" w:rsidRPr="003A48F4" w:rsidRDefault="00E77C95" w:rsidP="00652581">
            <w:pPr>
              <w:autoSpaceDE w:val="0"/>
              <w:autoSpaceDN w:val="0"/>
              <w:adjustRightInd w:val="0"/>
              <w:rPr>
                <w:rFonts w:cs="Times New Roman"/>
                <w:b/>
                <w:color w:val="000000"/>
                <w:sz w:val="24"/>
                <w:szCs w:val="24"/>
              </w:rPr>
            </w:pPr>
            <w:r w:rsidRPr="003A48F4">
              <w:rPr>
                <w:rFonts w:cs="Times New Roman"/>
                <w:b/>
                <w:color w:val="000000"/>
                <w:sz w:val="24"/>
                <w:szCs w:val="24"/>
              </w:rPr>
              <w:t xml:space="preserve">8:15 AM </w:t>
            </w:r>
            <w:r w:rsidR="003A48F4">
              <w:rPr>
                <w:rFonts w:cs="Times New Roman"/>
                <w:b/>
                <w:color w:val="000000"/>
                <w:sz w:val="24"/>
                <w:szCs w:val="24"/>
              </w:rPr>
              <w:t>-</w:t>
            </w:r>
            <w:r w:rsidRPr="003A48F4">
              <w:rPr>
                <w:rFonts w:cs="Times New Roman"/>
                <w:b/>
                <w:color w:val="000000"/>
                <w:sz w:val="24"/>
                <w:szCs w:val="24"/>
              </w:rPr>
              <w:t xml:space="preserve"> 8:30 AM</w:t>
            </w:r>
          </w:p>
        </w:tc>
        <w:tc>
          <w:tcPr>
            <w:tcW w:w="541" w:type="dxa"/>
            <w:tcBorders>
              <w:right w:val="single" w:sz="18" w:space="0" w:color="4F81BD" w:themeColor="accent1"/>
            </w:tcBorders>
            <w:shd w:val="clear" w:color="auto" w:fill="4F81BD" w:themeFill="accent1"/>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right w:val="single" w:sz="18" w:space="0" w:color="4F81BD" w:themeColor="accent1"/>
            </w:tcBorders>
          </w:tcPr>
          <w:p w:rsidR="00E77C95" w:rsidRDefault="00E77C95" w:rsidP="00E77C95">
            <w:pPr>
              <w:autoSpaceDE w:val="0"/>
              <w:autoSpaceDN w:val="0"/>
              <w:adjustRightInd w:val="0"/>
              <w:rPr>
                <w:rFonts w:ascii="Palatino Linotype" w:hAnsi="Palatino Linotype" w:cs="Times New Roman"/>
                <w:color w:val="000000"/>
                <w:sz w:val="28"/>
                <w:szCs w:val="28"/>
              </w:rPr>
            </w:pPr>
            <w:r w:rsidRPr="00E77C95">
              <w:rPr>
                <w:rFonts w:cs="Times New Roman"/>
                <w:b/>
                <w:color w:val="000000"/>
                <w:sz w:val="28"/>
                <w:szCs w:val="28"/>
              </w:rPr>
              <w:t>Opening Remarks</w:t>
            </w:r>
            <w:r>
              <w:rPr>
                <w:rFonts w:cs="Times New Roman"/>
                <w:b/>
                <w:color w:val="000000"/>
                <w:sz w:val="28"/>
                <w:szCs w:val="28"/>
              </w:rPr>
              <w:t xml:space="preserve">: </w:t>
            </w:r>
          </w:p>
        </w:tc>
      </w:tr>
      <w:tr w:rsidR="003A48F4" w:rsidTr="00E1649C">
        <w:trPr>
          <w:trHeight w:val="146"/>
        </w:trPr>
        <w:tc>
          <w:tcPr>
            <w:tcW w:w="2139" w:type="dxa"/>
            <w:vMerge/>
            <w:shd w:val="clear" w:color="auto" w:fill="DBE5F1" w:themeFill="accent1" w:themeFillTint="33"/>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2489" w:type="dxa"/>
            <w:shd w:val="clear" w:color="auto" w:fill="8DB3E2" w:themeFill="text2" w:themeFillTint="66"/>
          </w:tcPr>
          <w:p w:rsidR="00E77C95" w:rsidRPr="003A48F4" w:rsidRDefault="00E77C95" w:rsidP="00652581">
            <w:pPr>
              <w:autoSpaceDE w:val="0"/>
              <w:autoSpaceDN w:val="0"/>
              <w:adjustRightInd w:val="0"/>
              <w:rPr>
                <w:rFonts w:cs="Times New Roman"/>
                <w:b/>
                <w:color w:val="000000"/>
                <w:sz w:val="24"/>
                <w:szCs w:val="24"/>
              </w:rPr>
            </w:pPr>
          </w:p>
        </w:tc>
        <w:tc>
          <w:tcPr>
            <w:tcW w:w="541" w:type="dxa"/>
            <w:tcBorders>
              <w:right w:val="single" w:sz="18" w:space="0" w:color="4F81BD" w:themeColor="accent1"/>
            </w:tcBorders>
            <w:shd w:val="clear" w:color="auto" w:fill="4F81BD" w:themeFill="accent1"/>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right w:val="single" w:sz="18" w:space="0" w:color="4F81BD" w:themeColor="accent1"/>
            </w:tcBorders>
          </w:tcPr>
          <w:p w:rsidR="00E77C95" w:rsidRPr="008273D1" w:rsidRDefault="00E77C95" w:rsidP="00652581">
            <w:pPr>
              <w:autoSpaceDE w:val="0"/>
              <w:autoSpaceDN w:val="0"/>
              <w:adjustRightInd w:val="0"/>
              <w:rPr>
                <w:rFonts w:cs="Times New Roman"/>
                <w:color w:val="000000"/>
                <w:sz w:val="28"/>
                <w:szCs w:val="28"/>
              </w:rPr>
            </w:pPr>
            <w:r>
              <w:rPr>
                <w:rFonts w:cs="Times New Roman"/>
                <w:color w:val="000000"/>
                <w:sz w:val="28"/>
                <w:szCs w:val="28"/>
              </w:rPr>
              <w:t xml:space="preserve">      </w:t>
            </w:r>
            <w:r w:rsidRPr="008273D1">
              <w:rPr>
                <w:rFonts w:cs="Times New Roman"/>
                <w:color w:val="000000"/>
                <w:sz w:val="28"/>
                <w:szCs w:val="28"/>
              </w:rPr>
              <w:t xml:space="preserve">Honorable Amy M. </w:t>
            </w:r>
            <w:proofErr w:type="spellStart"/>
            <w:r w:rsidRPr="008273D1">
              <w:rPr>
                <w:rFonts w:cs="Times New Roman"/>
                <w:color w:val="000000"/>
                <w:sz w:val="28"/>
                <w:szCs w:val="28"/>
              </w:rPr>
              <w:t>Pellman</w:t>
            </w:r>
            <w:proofErr w:type="spellEnd"/>
            <w:r w:rsidRPr="008273D1">
              <w:rPr>
                <w:rFonts w:cs="Times New Roman"/>
                <w:color w:val="000000"/>
                <w:sz w:val="28"/>
                <w:szCs w:val="28"/>
              </w:rPr>
              <w:t xml:space="preserve">, </w:t>
            </w:r>
          </w:p>
          <w:p w:rsidR="00E77C95" w:rsidRDefault="00E77C95" w:rsidP="00E77C95">
            <w:pPr>
              <w:autoSpaceDE w:val="0"/>
              <w:autoSpaceDN w:val="0"/>
              <w:adjustRightInd w:val="0"/>
              <w:rPr>
                <w:rFonts w:ascii="Palatino Linotype" w:hAnsi="Palatino Linotype" w:cs="Times New Roman"/>
                <w:color w:val="000000"/>
                <w:sz w:val="28"/>
                <w:szCs w:val="28"/>
              </w:rPr>
            </w:pPr>
            <w:r w:rsidRPr="00E77C95">
              <w:rPr>
                <w:rFonts w:cs="Times New Roman"/>
                <w:color w:val="000000"/>
                <w:sz w:val="28"/>
                <w:szCs w:val="28"/>
              </w:rPr>
              <w:t xml:space="preserve">      Los Angeles County Children’s Court</w:t>
            </w:r>
          </w:p>
        </w:tc>
      </w:tr>
      <w:tr w:rsidR="003A48F4" w:rsidTr="00E1649C">
        <w:trPr>
          <w:trHeight w:val="146"/>
        </w:trPr>
        <w:tc>
          <w:tcPr>
            <w:tcW w:w="2139" w:type="dxa"/>
            <w:vMerge/>
            <w:shd w:val="clear" w:color="auto" w:fill="DBE5F1" w:themeFill="accent1" w:themeFillTint="33"/>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2489" w:type="dxa"/>
            <w:shd w:val="clear" w:color="auto" w:fill="8DB3E2" w:themeFill="text2" w:themeFillTint="66"/>
          </w:tcPr>
          <w:p w:rsidR="00E77C95" w:rsidRPr="003A48F4" w:rsidRDefault="00E77C95" w:rsidP="00652581">
            <w:pPr>
              <w:autoSpaceDE w:val="0"/>
              <w:autoSpaceDN w:val="0"/>
              <w:adjustRightInd w:val="0"/>
              <w:rPr>
                <w:rFonts w:cs="Times New Roman"/>
                <w:b/>
                <w:color w:val="000000"/>
                <w:sz w:val="24"/>
                <w:szCs w:val="24"/>
              </w:rPr>
            </w:pPr>
          </w:p>
        </w:tc>
        <w:tc>
          <w:tcPr>
            <w:tcW w:w="541" w:type="dxa"/>
            <w:tcBorders>
              <w:right w:val="single" w:sz="18" w:space="0" w:color="4F81BD" w:themeColor="accent1"/>
            </w:tcBorders>
            <w:shd w:val="clear" w:color="auto" w:fill="4F81BD" w:themeFill="accent1"/>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right w:val="single" w:sz="18" w:space="0" w:color="4F81BD" w:themeColor="accent1"/>
            </w:tcBorders>
          </w:tcPr>
          <w:p w:rsidR="00E77C95" w:rsidRPr="00E77C95" w:rsidRDefault="00E77C95" w:rsidP="00652581">
            <w:pPr>
              <w:autoSpaceDE w:val="0"/>
              <w:autoSpaceDN w:val="0"/>
              <w:adjustRightInd w:val="0"/>
              <w:rPr>
                <w:rFonts w:cs="Times New Roman"/>
                <w:b/>
                <w:color w:val="000000"/>
                <w:sz w:val="28"/>
                <w:szCs w:val="28"/>
              </w:rPr>
            </w:pPr>
            <w:r w:rsidRPr="00E77C95">
              <w:rPr>
                <w:rFonts w:cs="Times New Roman"/>
                <w:b/>
                <w:color w:val="000000"/>
                <w:sz w:val="28"/>
                <w:szCs w:val="28"/>
              </w:rPr>
              <w:t>Instructor:</w:t>
            </w:r>
          </w:p>
        </w:tc>
      </w:tr>
      <w:tr w:rsidR="003A48F4" w:rsidTr="00E1649C">
        <w:trPr>
          <w:trHeight w:val="146"/>
        </w:trPr>
        <w:tc>
          <w:tcPr>
            <w:tcW w:w="2139" w:type="dxa"/>
            <w:vMerge/>
            <w:shd w:val="clear" w:color="auto" w:fill="DBE5F1" w:themeFill="accent1" w:themeFillTint="33"/>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2489" w:type="dxa"/>
            <w:shd w:val="clear" w:color="auto" w:fill="8DB3E2" w:themeFill="text2" w:themeFillTint="66"/>
          </w:tcPr>
          <w:p w:rsidR="00E77C95" w:rsidRPr="003A48F4" w:rsidRDefault="00E77C95" w:rsidP="00652581">
            <w:pPr>
              <w:autoSpaceDE w:val="0"/>
              <w:autoSpaceDN w:val="0"/>
              <w:adjustRightInd w:val="0"/>
              <w:rPr>
                <w:rFonts w:cs="Times New Roman"/>
                <w:b/>
                <w:color w:val="000000"/>
                <w:sz w:val="24"/>
                <w:szCs w:val="24"/>
              </w:rPr>
            </w:pPr>
          </w:p>
        </w:tc>
        <w:tc>
          <w:tcPr>
            <w:tcW w:w="541" w:type="dxa"/>
            <w:tcBorders>
              <w:right w:val="single" w:sz="18" w:space="0" w:color="4F81BD" w:themeColor="accent1"/>
            </w:tcBorders>
            <w:shd w:val="clear" w:color="auto" w:fill="4F81BD" w:themeFill="accent1"/>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right w:val="single" w:sz="18" w:space="0" w:color="4F81BD" w:themeColor="accent1"/>
            </w:tcBorders>
          </w:tcPr>
          <w:p w:rsidR="00E77C95" w:rsidRDefault="00E77C95" w:rsidP="00652581">
            <w:pPr>
              <w:autoSpaceDE w:val="0"/>
              <w:autoSpaceDN w:val="0"/>
              <w:adjustRightInd w:val="0"/>
              <w:rPr>
                <w:rFonts w:cs="Times New Roman"/>
                <w:color w:val="000000"/>
                <w:sz w:val="28"/>
                <w:szCs w:val="28"/>
              </w:rPr>
            </w:pPr>
            <w:r>
              <w:rPr>
                <w:rFonts w:ascii="Palatino Linotype" w:hAnsi="Palatino Linotype" w:cs="Times New Roman"/>
                <w:color w:val="000000"/>
                <w:sz w:val="28"/>
                <w:szCs w:val="28"/>
              </w:rPr>
              <w:t xml:space="preserve">     </w:t>
            </w:r>
            <w:r w:rsidRPr="00E77C95">
              <w:rPr>
                <w:rFonts w:cs="Times New Roman"/>
                <w:color w:val="000000"/>
                <w:sz w:val="28"/>
                <w:szCs w:val="28"/>
              </w:rPr>
              <w:t>Honorable William A. Thorne, Jr</w:t>
            </w:r>
            <w:r>
              <w:rPr>
                <w:rFonts w:cs="Times New Roman"/>
                <w:color w:val="000000"/>
                <w:sz w:val="28"/>
                <w:szCs w:val="28"/>
              </w:rPr>
              <w:t xml:space="preserve"> </w:t>
            </w:r>
            <w:r w:rsidRPr="00E77C95">
              <w:rPr>
                <w:rFonts w:cs="Times New Roman"/>
                <w:color w:val="000000"/>
                <w:sz w:val="28"/>
                <w:szCs w:val="28"/>
              </w:rPr>
              <w:t xml:space="preserve">(Ret) </w:t>
            </w:r>
          </w:p>
          <w:p w:rsidR="00E77C95" w:rsidRDefault="00E77C95" w:rsidP="00E77C95">
            <w:pPr>
              <w:autoSpaceDE w:val="0"/>
              <w:autoSpaceDN w:val="0"/>
              <w:adjustRightInd w:val="0"/>
              <w:rPr>
                <w:rFonts w:cs="Times New Roman"/>
                <w:color w:val="000000"/>
                <w:sz w:val="28"/>
                <w:szCs w:val="28"/>
              </w:rPr>
            </w:pPr>
            <w:r>
              <w:rPr>
                <w:rFonts w:cs="Times New Roman"/>
                <w:color w:val="000000"/>
                <w:sz w:val="28"/>
                <w:szCs w:val="28"/>
              </w:rPr>
              <w:t xml:space="preserve">      </w:t>
            </w:r>
            <w:r w:rsidRPr="00E77C95">
              <w:rPr>
                <w:rFonts w:cs="Times New Roman"/>
                <w:color w:val="000000"/>
                <w:sz w:val="28"/>
                <w:szCs w:val="28"/>
              </w:rPr>
              <w:t>Utah</w:t>
            </w:r>
            <w:r>
              <w:rPr>
                <w:rFonts w:cs="Times New Roman"/>
                <w:color w:val="000000"/>
                <w:sz w:val="28"/>
                <w:szCs w:val="28"/>
              </w:rPr>
              <w:t xml:space="preserve"> </w:t>
            </w:r>
            <w:r w:rsidRPr="00E77C95">
              <w:rPr>
                <w:rFonts w:cs="Times New Roman"/>
                <w:color w:val="000000"/>
                <w:sz w:val="28"/>
                <w:szCs w:val="28"/>
              </w:rPr>
              <w:t>Court of Appeals</w:t>
            </w:r>
          </w:p>
          <w:p w:rsidR="003A48F4" w:rsidRPr="00E77C95" w:rsidRDefault="003A48F4" w:rsidP="00E77C95">
            <w:pPr>
              <w:autoSpaceDE w:val="0"/>
              <w:autoSpaceDN w:val="0"/>
              <w:adjustRightInd w:val="0"/>
              <w:rPr>
                <w:rFonts w:cs="Times New Roman"/>
                <w:color w:val="000000"/>
                <w:sz w:val="28"/>
                <w:szCs w:val="28"/>
              </w:rPr>
            </w:pPr>
          </w:p>
        </w:tc>
      </w:tr>
      <w:tr w:rsidR="003A48F4" w:rsidTr="00E1649C">
        <w:trPr>
          <w:trHeight w:val="146"/>
        </w:trPr>
        <w:tc>
          <w:tcPr>
            <w:tcW w:w="2139" w:type="dxa"/>
            <w:vMerge/>
            <w:shd w:val="clear" w:color="auto" w:fill="DBE5F1" w:themeFill="accent1" w:themeFillTint="33"/>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2489" w:type="dxa"/>
            <w:shd w:val="clear" w:color="auto" w:fill="8DB3E2" w:themeFill="text2" w:themeFillTint="66"/>
          </w:tcPr>
          <w:p w:rsidR="00E77C95" w:rsidRPr="003A48F4" w:rsidRDefault="00E77C95" w:rsidP="00652581">
            <w:pPr>
              <w:autoSpaceDE w:val="0"/>
              <w:autoSpaceDN w:val="0"/>
              <w:adjustRightInd w:val="0"/>
              <w:rPr>
                <w:rFonts w:cs="Times New Roman"/>
                <w:b/>
                <w:color w:val="000000"/>
                <w:sz w:val="24"/>
                <w:szCs w:val="24"/>
              </w:rPr>
            </w:pPr>
            <w:r w:rsidRPr="003A48F4">
              <w:rPr>
                <w:rFonts w:cs="Times New Roman"/>
                <w:b/>
                <w:color w:val="000000"/>
                <w:sz w:val="24"/>
                <w:szCs w:val="24"/>
              </w:rPr>
              <w:t>8:3</w:t>
            </w:r>
            <w:r w:rsidR="003A48F4">
              <w:rPr>
                <w:rFonts w:cs="Times New Roman"/>
                <w:b/>
                <w:color w:val="000000"/>
                <w:sz w:val="24"/>
                <w:szCs w:val="24"/>
              </w:rPr>
              <w:t xml:space="preserve">0 AM - </w:t>
            </w:r>
            <w:r w:rsidRPr="003A48F4">
              <w:rPr>
                <w:rFonts w:cs="Times New Roman"/>
                <w:b/>
                <w:color w:val="000000"/>
                <w:sz w:val="24"/>
                <w:szCs w:val="24"/>
              </w:rPr>
              <w:t>10:30 PM</w:t>
            </w:r>
          </w:p>
        </w:tc>
        <w:tc>
          <w:tcPr>
            <w:tcW w:w="541" w:type="dxa"/>
            <w:tcBorders>
              <w:right w:val="single" w:sz="18" w:space="0" w:color="4F81BD" w:themeColor="accent1"/>
            </w:tcBorders>
            <w:shd w:val="clear" w:color="auto" w:fill="4F81BD" w:themeFill="accent1"/>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right w:val="single" w:sz="18" w:space="0" w:color="4F81BD" w:themeColor="accent1"/>
            </w:tcBorders>
          </w:tcPr>
          <w:p w:rsidR="00E77C95" w:rsidRPr="00410BA8" w:rsidRDefault="00E77C95" w:rsidP="00E77C95">
            <w:pPr>
              <w:autoSpaceDE w:val="0"/>
              <w:autoSpaceDN w:val="0"/>
              <w:adjustRightInd w:val="0"/>
              <w:rPr>
                <w:rFonts w:cs="Times New Roman"/>
                <w:b/>
                <w:color w:val="000000"/>
                <w:sz w:val="28"/>
                <w:szCs w:val="28"/>
              </w:rPr>
            </w:pPr>
            <w:r w:rsidRPr="00410BA8">
              <w:rPr>
                <w:rFonts w:cs="Times New Roman"/>
                <w:b/>
                <w:color w:val="000000"/>
                <w:sz w:val="28"/>
                <w:szCs w:val="28"/>
              </w:rPr>
              <w:t xml:space="preserve">Background and Historical Context, Early Indian Child Welfare </w:t>
            </w:r>
            <w:r w:rsidR="00565800">
              <w:rPr>
                <w:rFonts w:cs="Times New Roman"/>
                <w:b/>
                <w:color w:val="000000"/>
                <w:sz w:val="28"/>
                <w:szCs w:val="28"/>
              </w:rPr>
              <w:t>Efforts:</w:t>
            </w:r>
          </w:p>
          <w:p w:rsidR="00E77C95" w:rsidRPr="00765899" w:rsidRDefault="00E77C95" w:rsidP="00E77C95">
            <w:pPr>
              <w:autoSpaceDE w:val="0"/>
              <w:autoSpaceDN w:val="0"/>
              <w:adjustRightInd w:val="0"/>
              <w:rPr>
                <w:rFonts w:cs="Times New Roman"/>
                <w:color w:val="000000"/>
                <w:sz w:val="28"/>
                <w:szCs w:val="28"/>
              </w:rPr>
            </w:pPr>
            <w:r>
              <w:rPr>
                <w:rFonts w:cs="Times New Roman"/>
                <w:color w:val="000000"/>
                <w:sz w:val="28"/>
                <w:szCs w:val="28"/>
              </w:rPr>
              <w:t xml:space="preserve">       </w:t>
            </w:r>
            <w:r w:rsidRPr="00765899">
              <w:rPr>
                <w:rFonts w:cs="Times New Roman"/>
                <w:color w:val="000000"/>
                <w:sz w:val="28"/>
                <w:szCs w:val="28"/>
              </w:rPr>
              <w:t xml:space="preserve">130 years ago </w:t>
            </w:r>
            <w:r>
              <w:rPr>
                <w:rFonts w:cs="Times New Roman"/>
                <w:color w:val="000000"/>
                <w:sz w:val="28"/>
                <w:szCs w:val="28"/>
              </w:rPr>
              <w:t>- to -</w:t>
            </w:r>
            <w:r w:rsidRPr="00765899">
              <w:rPr>
                <w:rFonts w:cs="Times New Roman"/>
                <w:color w:val="000000"/>
                <w:sz w:val="28"/>
                <w:szCs w:val="28"/>
              </w:rPr>
              <w:t xml:space="preserve"> Present Day</w:t>
            </w:r>
          </w:p>
          <w:p w:rsidR="00E77C95" w:rsidRPr="00E570AA" w:rsidRDefault="00E77C95" w:rsidP="00E77C95">
            <w:pPr>
              <w:autoSpaceDE w:val="0"/>
              <w:autoSpaceDN w:val="0"/>
              <w:adjustRightInd w:val="0"/>
              <w:ind w:left="72"/>
              <w:rPr>
                <w:rFonts w:cs="Times New Roman"/>
                <w:b/>
                <w:i/>
                <w:color w:val="000000"/>
                <w:sz w:val="28"/>
                <w:szCs w:val="28"/>
              </w:rPr>
            </w:pPr>
            <w:r w:rsidRPr="00410BA8">
              <w:rPr>
                <w:rFonts w:cs="Times New Roman"/>
                <w:b/>
                <w:color w:val="000000"/>
                <w:sz w:val="28"/>
                <w:szCs w:val="28"/>
              </w:rPr>
              <w:t>ICWA –Application/Compliance &amp; Spirit of the Law</w:t>
            </w:r>
            <w:r>
              <w:rPr>
                <w:rFonts w:cs="Times New Roman"/>
                <w:b/>
                <w:color w:val="000000"/>
                <w:sz w:val="28"/>
                <w:szCs w:val="28"/>
              </w:rPr>
              <w:t xml:space="preserve"> . . . </w:t>
            </w:r>
            <w:r w:rsidRPr="00E570AA">
              <w:rPr>
                <w:rFonts w:cs="Times New Roman"/>
                <w:b/>
                <w:i/>
                <w:color w:val="000000"/>
                <w:sz w:val="28"/>
                <w:szCs w:val="28"/>
              </w:rPr>
              <w:t>“Best Interest of the Child”</w:t>
            </w:r>
          </w:p>
          <w:p w:rsidR="00E77C95" w:rsidRDefault="00E77C95" w:rsidP="00652581">
            <w:pPr>
              <w:autoSpaceDE w:val="0"/>
              <w:autoSpaceDN w:val="0"/>
              <w:adjustRightInd w:val="0"/>
              <w:rPr>
                <w:rFonts w:cs="Times New Roman"/>
                <w:color w:val="000000"/>
                <w:sz w:val="28"/>
                <w:szCs w:val="28"/>
              </w:rPr>
            </w:pPr>
            <w:r>
              <w:rPr>
                <w:rFonts w:cs="Times New Roman"/>
                <w:color w:val="000000"/>
                <w:sz w:val="28"/>
                <w:szCs w:val="28"/>
              </w:rPr>
              <w:t xml:space="preserve">      </w:t>
            </w:r>
            <w:r w:rsidR="00565800">
              <w:rPr>
                <w:rFonts w:cs="Times New Roman"/>
                <w:color w:val="000000"/>
                <w:sz w:val="28"/>
                <w:szCs w:val="28"/>
              </w:rPr>
              <w:t xml:space="preserve"> </w:t>
            </w:r>
            <w:r>
              <w:rPr>
                <w:rFonts w:cs="Times New Roman"/>
                <w:color w:val="000000"/>
                <w:sz w:val="28"/>
                <w:szCs w:val="28"/>
              </w:rPr>
              <w:t>Who has Rights Under this Law</w:t>
            </w:r>
          </w:p>
          <w:p w:rsidR="003A48F4" w:rsidRDefault="003A48F4" w:rsidP="00652581">
            <w:pPr>
              <w:autoSpaceDE w:val="0"/>
              <w:autoSpaceDN w:val="0"/>
              <w:adjustRightInd w:val="0"/>
              <w:rPr>
                <w:rFonts w:ascii="Palatino Linotype" w:hAnsi="Palatino Linotype" w:cs="Times New Roman"/>
                <w:color w:val="000000"/>
                <w:sz w:val="28"/>
                <w:szCs w:val="28"/>
              </w:rPr>
            </w:pPr>
          </w:p>
        </w:tc>
      </w:tr>
      <w:tr w:rsidR="003A48F4" w:rsidTr="00E1649C">
        <w:trPr>
          <w:trHeight w:val="146"/>
        </w:trPr>
        <w:tc>
          <w:tcPr>
            <w:tcW w:w="2139" w:type="dxa"/>
            <w:vMerge/>
            <w:shd w:val="clear" w:color="auto" w:fill="DBE5F1" w:themeFill="accent1" w:themeFillTint="33"/>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2489" w:type="dxa"/>
            <w:shd w:val="clear" w:color="auto" w:fill="8DB3E2" w:themeFill="text2" w:themeFillTint="66"/>
          </w:tcPr>
          <w:p w:rsidR="00E77C95" w:rsidRPr="003A48F4" w:rsidRDefault="00E77C95" w:rsidP="00652581">
            <w:pPr>
              <w:autoSpaceDE w:val="0"/>
              <w:autoSpaceDN w:val="0"/>
              <w:adjustRightInd w:val="0"/>
              <w:rPr>
                <w:rFonts w:cs="Times New Roman"/>
                <w:b/>
                <w:color w:val="000000"/>
                <w:sz w:val="24"/>
                <w:szCs w:val="24"/>
              </w:rPr>
            </w:pPr>
            <w:r w:rsidRPr="003A48F4">
              <w:rPr>
                <w:rFonts w:cs="Times New Roman"/>
                <w:b/>
                <w:color w:val="000000"/>
                <w:sz w:val="24"/>
                <w:szCs w:val="24"/>
              </w:rPr>
              <w:t xml:space="preserve">10:30 AM </w:t>
            </w:r>
            <w:r w:rsidR="003A48F4">
              <w:rPr>
                <w:rFonts w:cs="Times New Roman"/>
                <w:b/>
                <w:color w:val="000000"/>
                <w:sz w:val="24"/>
                <w:szCs w:val="24"/>
              </w:rPr>
              <w:t>-</w:t>
            </w:r>
            <w:r w:rsidRPr="003A48F4">
              <w:rPr>
                <w:rFonts w:cs="Times New Roman"/>
                <w:b/>
                <w:color w:val="000000"/>
                <w:sz w:val="24"/>
                <w:szCs w:val="24"/>
              </w:rPr>
              <w:t xml:space="preserve"> 10:40 AM</w:t>
            </w:r>
          </w:p>
        </w:tc>
        <w:tc>
          <w:tcPr>
            <w:tcW w:w="541" w:type="dxa"/>
            <w:tcBorders>
              <w:right w:val="single" w:sz="18" w:space="0" w:color="4F81BD" w:themeColor="accent1"/>
            </w:tcBorders>
            <w:shd w:val="clear" w:color="auto" w:fill="4F81BD" w:themeFill="accent1"/>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right w:val="single" w:sz="18" w:space="0" w:color="4F81BD" w:themeColor="accent1"/>
            </w:tcBorders>
          </w:tcPr>
          <w:p w:rsidR="00E77C95" w:rsidRDefault="00E77C95" w:rsidP="00652581">
            <w:pPr>
              <w:autoSpaceDE w:val="0"/>
              <w:autoSpaceDN w:val="0"/>
              <w:adjustRightInd w:val="0"/>
              <w:rPr>
                <w:rFonts w:cs="Times New Roman"/>
                <w:b/>
                <w:color w:val="000000"/>
                <w:sz w:val="24"/>
                <w:szCs w:val="24"/>
              </w:rPr>
            </w:pPr>
            <w:r>
              <w:rPr>
                <w:rFonts w:cs="Times New Roman"/>
                <w:b/>
                <w:color w:val="000000"/>
                <w:sz w:val="24"/>
                <w:szCs w:val="24"/>
              </w:rPr>
              <w:t>Break</w:t>
            </w:r>
          </w:p>
          <w:p w:rsidR="003A48F4" w:rsidRPr="00E77C95" w:rsidRDefault="003A48F4" w:rsidP="00652581">
            <w:pPr>
              <w:autoSpaceDE w:val="0"/>
              <w:autoSpaceDN w:val="0"/>
              <w:adjustRightInd w:val="0"/>
              <w:rPr>
                <w:rFonts w:cs="Times New Roman"/>
                <w:b/>
                <w:color w:val="000000"/>
                <w:sz w:val="24"/>
                <w:szCs w:val="24"/>
              </w:rPr>
            </w:pPr>
          </w:p>
        </w:tc>
      </w:tr>
      <w:tr w:rsidR="003A48F4" w:rsidTr="00E1649C">
        <w:trPr>
          <w:trHeight w:val="146"/>
        </w:trPr>
        <w:tc>
          <w:tcPr>
            <w:tcW w:w="2139" w:type="dxa"/>
            <w:vMerge/>
            <w:shd w:val="clear" w:color="auto" w:fill="DBE5F1" w:themeFill="accent1" w:themeFillTint="33"/>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2489" w:type="dxa"/>
            <w:shd w:val="clear" w:color="auto" w:fill="8DB3E2" w:themeFill="text2" w:themeFillTint="66"/>
          </w:tcPr>
          <w:p w:rsidR="00E77C95" w:rsidRPr="003A48F4" w:rsidRDefault="00E77C95" w:rsidP="00652581">
            <w:pPr>
              <w:autoSpaceDE w:val="0"/>
              <w:autoSpaceDN w:val="0"/>
              <w:adjustRightInd w:val="0"/>
              <w:rPr>
                <w:rFonts w:cs="Times New Roman"/>
                <w:b/>
                <w:color w:val="000000"/>
                <w:sz w:val="24"/>
                <w:szCs w:val="24"/>
              </w:rPr>
            </w:pPr>
            <w:r w:rsidRPr="003A48F4">
              <w:rPr>
                <w:rFonts w:cs="Times New Roman"/>
                <w:b/>
                <w:color w:val="000000"/>
                <w:sz w:val="24"/>
                <w:szCs w:val="24"/>
              </w:rPr>
              <w:t xml:space="preserve">10:40 AM </w:t>
            </w:r>
            <w:r w:rsidR="003A48F4">
              <w:rPr>
                <w:rFonts w:cs="Times New Roman"/>
                <w:b/>
                <w:color w:val="000000"/>
                <w:sz w:val="24"/>
                <w:szCs w:val="24"/>
              </w:rPr>
              <w:t>-</w:t>
            </w:r>
            <w:r w:rsidRPr="003A48F4">
              <w:rPr>
                <w:rFonts w:cs="Times New Roman"/>
                <w:b/>
                <w:color w:val="000000"/>
                <w:sz w:val="24"/>
                <w:szCs w:val="24"/>
              </w:rPr>
              <w:t xml:space="preserve"> 12:30 PM</w:t>
            </w:r>
          </w:p>
        </w:tc>
        <w:tc>
          <w:tcPr>
            <w:tcW w:w="541" w:type="dxa"/>
            <w:tcBorders>
              <w:right w:val="single" w:sz="18" w:space="0" w:color="4F81BD" w:themeColor="accent1"/>
            </w:tcBorders>
            <w:shd w:val="clear" w:color="auto" w:fill="4F81BD" w:themeFill="accent1"/>
          </w:tcPr>
          <w:p w:rsidR="00E77C95" w:rsidRDefault="00E77C95"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right w:val="single" w:sz="18" w:space="0" w:color="4F81BD" w:themeColor="accent1"/>
            </w:tcBorders>
          </w:tcPr>
          <w:p w:rsidR="003A48F4" w:rsidRDefault="003A48F4" w:rsidP="003A48F4">
            <w:pPr>
              <w:autoSpaceDE w:val="0"/>
              <w:autoSpaceDN w:val="0"/>
              <w:adjustRightInd w:val="0"/>
              <w:ind w:left="72"/>
              <w:rPr>
                <w:rFonts w:cs="Times New Roman"/>
                <w:b/>
                <w:color w:val="000000"/>
                <w:sz w:val="28"/>
                <w:szCs w:val="28"/>
              </w:rPr>
            </w:pPr>
            <w:r w:rsidRPr="00410BA8">
              <w:rPr>
                <w:rFonts w:cs="Times New Roman"/>
                <w:b/>
                <w:color w:val="000000"/>
                <w:sz w:val="28"/>
                <w:szCs w:val="28"/>
              </w:rPr>
              <w:t>ICWA –</w:t>
            </w:r>
            <w:r>
              <w:rPr>
                <w:rFonts w:cs="Times New Roman"/>
                <w:b/>
                <w:color w:val="000000"/>
                <w:sz w:val="28"/>
                <w:szCs w:val="28"/>
              </w:rPr>
              <w:t xml:space="preserve"> (cont’d) </w:t>
            </w:r>
          </w:p>
          <w:p w:rsidR="003A48F4" w:rsidRPr="00E570AA" w:rsidRDefault="003A48F4" w:rsidP="003A48F4">
            <w:pPr>
              <w:autoSpaceDE w:val="0"/>
              <w:autoSpaceDN w:val="0"/>
              <w:adjustRightInd w:val="0"/>
              <w:ind w:left="72"/>
              <w:rPr>
                <w:rFonts w:cs="Times New Roman"/>
                <w:b/>
                <w:i/>
                <w:color w:val="000000"/>
                <w:sz w:val="28"/>
                <w:szCs w:val="28"/>
              </w:rPr>
            </w:pPr>
            <w:r w:rsidRPr="00410BA8">
              <w:rPr>
                <w:rFonts w:cs="Times New Roman"/>
                <w:b/>
                <w:color w:val="000000"/>
                <w:sz w:val="28"/>
                <w:szCs w:val="28"/>
              </w:rPr>
              <w:t>Application/Compliance &amp; Spirit of the Law</w:t>
            </w:r>
            <w:r>
              <w:rPr>
                <w:rFonts w:cs="Times New Roman"/>
                <w:b/>
                <w:color w:val="000000"/>
                <w:sz w:val="28"/>
                <w:szCs w:val="28"/>
              </w:rPr>
              <w:t xml:space="preserve">  </w:t>
            </w:r>
            <w:r w:rsidRPr="00E570AA">
              <w:rPr>
                <w:rFonts w:cs="Times New Roman"/>
                <w:b/>
                <w:i/>
                <w:color w:val="000000"/>
                <w:sz w:val="28"/>
                <w:szCs w:val="28"/>
              </w:rPr>
              <w:t>“Best Interest of the Child”</w:t>
            </w:r>
            <w:r>
              <w:rPr>
                <w:rFonts w:cs="Times New Roman"/>
                <w:b/>
                <w:i/>
                <w:color w:val="000000"/>
                <w:sz w:val="28"/>
                <w:szCs w:val="28"/>
              </w:rPr>
              <w:t xml:space="preserve"> </w:t>
            </w:r>
          </w:p>
          <w:p w:rsidR="00E77C95" w:rsidRDefault="00E77C95" w:rsidP="003A48F4">
            <w:pPr>
              <w:autoSpaceDE w:val="0"/>
              <w:autoSpaceDN w:val="0"/>
              <w:adjustRightInd w:val="0"/>
              <w:ind w:left="432" w:hanging="18"/>
              <w:rPr>
                <w:rFonts w:cs="Times New Roman"/>
                <w:color w:val="000000"/>
                <w:sz w:val="28"/>
                <w:szCs w:val="28"/>
              </w:rPr>
            </w:pPr>
            <w:r w:rsidRPr="00765899">
              <w:rPr>
                <w:rFonts w:cs="Times New Roman"/>
                <w:color w:val="000000"/>
                <w:sz w:val="28"/>
                <w:szCs w:val="28"/>
              </w:rPr>
              <w:t xml:space="preserve">Role of the Tribal Courts, </w:t>
            </w:r>
          </w:p>
          <w:p w:rsidR="00E77C95" w:rsidRDefault="00E77C95" w:rsidP="003A48F4">
            <w:pPr>
              <w:autoSpaceDE w:val="0"/>
              <w:autoSpaceDN w:val="0"/>
              <w:adjustRightInd w:val="0"/>
              <w:ind w:left="432" w:hanging="18"/>
              <w:rPr>
                <w:rFonts w:cs="Times New Roman"/>
                <w:color w:val="000000"/>
                <w:sz w:val="28"/>
                <w:szCs w:val="28"/>
              </w:rPr>
            </w:pPr>
            <w:r w:rsidRPr="00765899">
              <w:rPr>
                <w:rFonts w:cs="Times New Roman"/>
                <w:color w:val="000000"/>
                <w:sz w:val="28"/>
                <w:szCs w:val="28"/>
              </w:rPr>
              <w:t xml:space="preserve">Recognition of Tribal Law, </w:t>
            </w:r>
          </w:p>
          <w:p w:rsidR="000474C2" w:rsidRDefault="00E77C95" w:rsidP="003A48F4">
            <w:pPr>
              <w:autoSpaceDE w:val="0"/>
              <w:autoSpaceDN w:val="0"/>
              <w:adjustRightInd w:val="0"/>
              <w:ind w:left="432" w:hanging="18"/>
              <w:rPr>
                <w:rFonts w:cs="Times New Roman"/>
                <w:color w:val="000000"/>
                <w:sz w:val="28"/>
                <w:szCs w:val="28"/>
              </w:rPr>
            </w:pPr>
            <w:r w:rsidRPr="00765899">
              <w:rPr>
                <w:rFonts w:cs="Times New Roman"/>
                <w:color w:val="000000"/>
                <w:sz w:val="28"/>
                <w:szCs w:val="28"/>
              </w:rPr>
              <w:t xml:space="preserve">Transfer Jurisdiction and </w:t>
            </w:r>
          </w:p>
          <w:p w:rsidR="00E77C95" w:rsidRDefault="000474C2" w:rsidP="003A48F4">
            <w:pPr>
              <w:autoSpaceDE w:val="0"/>
              <w:autoSpaceDN w:val="0"/>
              <w:adjustRightInd w:val="0"/>
              <w:ind w:left="432" w:hanging="18"/>
              <w:rPr>
                <w:rFonts w:cs="Times New Roman"/>
                <w:color w:val="000000"/>
                <w:sz w:val="28"/>
                <w:szCs w:val="28"/>
              </w:rPr>
            </w:pPr>
            <w:r>
              <w:rPr>
                <w:rFonts w:cs="Times New Roman"/>
                <w:color w:val="000000"/>
                <w:sz w:val="28"/>
                <w:szCs w:val="28"/>
              </w:rPr>
              <w:t xml:space="preserve">   </w:t>
            </w:r>
            <w:r w:rsidR="00E77C95" w:rsidRPr="00765899">
              <w:rPr>
                <w:rFonts w:cs="Times New Roman"/>
                <w:color w:val="000000"/>
                <w:sz w:val="28"/>
                <w:szCs w:val="28"/>
              </w:rPr>
              <w:t>Emergency Removal</w:t>
            </w:r>
          </w:p>
          <w:p w:rsidR="00E77C95" w:rsidRDefault="00E77C95" w:rsidP="003A48F4">
            <w:pPr>
              <w:autoSpaceDE w:val="0"/>
              <w:autoSpaceDN w:val="0"/>
              <w:adjustRightInd w:val="0"/>
              <w:ind w:left="432" w:hanging="18"/>
              <w:rPr>
                <w:rFonts w:cs="Times New Roman"/>
                <w:color w:val="000000"/>
                <w:sz w:val="28"/>
                <w:szCs w:val="28"/>
              </w:rPr>
            </w:pPr>
            <w:r>
              <w:rPr>
                <w:rFonts w:cs="Times New Roman"/>
                <w:color w:val="000000"/>
                <w:sz w:val="28"/>
                <w:szCs w:val="28"/>
              </w:rPr>
              <w:t xml:space="preserve">Impact on the </w:t>
            </w:r>
            <w:r w:rsidR="00565800">
              <w:rPr>
                <w:rFonts w:cs="Times New Roman"/>
                <w:color w:val="000000"/>
                <w:sz w:val="28"/>
                <w:szCs w:val="28"/>
              </w:rPr>
              <w:t xml:space="preserve">Indian </w:t>
            </w:r>
            <w:r>
              <w:rPr>
                <w:rFonts w:cs="Times New Roman"/>
                <w:color w:val="000000"/>
                <w:sz w:val="28"/>
                <w:szCs w:val="28"/>
              </w:rPr>
              <w:t>Child/Family</w:t>
            </w:r>
          </w:p>
          <w:p w:rsidR="003A48F4" w:rsidRDefault="003A48F4" w:rsidP="003A48F4">
            <w:pPr>
              <w:autoSpaceDE w:val="0"/>
              <w:autoSpaceDN w:val="0"/>
              <w:adjustRightInd w:val="0"/>
              <w:ind w:left="432" w:hanging="18"/>
              <w:rPr>
                <w:rFonts w:ascii="Palatino Linotype" w:hAnsi="Palatino Linotype" w:cs="Times New Roman"/>
                <w:color w:val="000000"/>
                <w:sz w:val="28"/>
                <w:szCs w:val="28"/>
              </w:rPr>
            </w:pPr>
          </w:p>
        </w:tc>
      </w:tr>
      <w:tr w:rsidR="003A48F4" w:rsidTr="00E1649C">
        <w:trPr>
          <w:trHeight w:val="1201"/>
        </w:trPr>
        <w:tc>
          <w:tcPr>
            <w:tcW w:w="2139" w:type="dxa"/>
            <w:shd w:val="clear" w:color="auto" w:fill="DBE5F1" w:themeFill="accent1" w:themeFillTint="33"/>
          </w:tcPr>
          <w:p w:rsidR="003A48F4" w:rsidRDefault="003A48F4" w:rsidP="00652581">
            <w:pPr>
              <w:autoSpaceDE w:val="0"/>
              <w:autoSpaceDN w:val="0"/>
              <w:adjustRightInd w:val="0"/>
              <w:rPr>
                <w:rFonts w:ascii="Palatino Linotype" w:hAnsi="Palatino Linotype" w:cs="Times New Roman"/>
                <w:color w:val="000000"/>
                <w:sz w:val="28"/>
                <w:szCs w:val="28"/>
              </w:rPr>
            </w:pPr>
          </w:p>
        </w:tc>
        <w:tc>
          <w:tcPr>
            <w:tcW w:w="2489" w:type="dxa"/>
            <w:shd w:val="clear" w:color="auto" w:fill="8DB3E2" w:themeFill="text2" w:themeFillTint="66"/>
          </w:tcPr>
          <w:p w:rsidR="003A48F4" w:rsidRDefault="003A48F4" w:rsidP="00652581">
            <w:pPr>
              <w:autoSpaceDE w:val="0"/>
              <w:autoSpaceDN w:val="0"/>
              <w:adjustRightInd w:val="0"/>
              <w:rPr>
                <w:rFonts w:cs="Times New Roman"/>
                <w:b/>
                <w:color w:val="000000"/>
                <w:sz w:val="24"/>
                <w:szCs w:val="24"/>
              </w:rPr>
            </w:pPr>
            <w:r w:rsidRPr="003A48F4">
              <w:rPr>
                <w:rFonts w:cs="Times New Roman"/>
                <w:b/>
                <w:color w:val="000000"/>
                <w:sz w:val="24"/>
                <w:szCs w:val="24"/>
              </w:rPr>
              <w:t>12:30 PM</w:t>
            </w:r>
            <w:r>
              <w:rPr>
                <w:rFonts w:cs="Times New Roman"/>
                <w:b/>
                <w:color w:val="000000"/>
                <w:sz w:val="24"/>
                <w:szCs w:val="24"/>
              </w:rPr>
              <w:t xml:space="preserve"> -</w:t>
            </w:r>
            <w:r w:rsidRPr="003A48F4">
              <w:rPr>
                <w:rFonts w:cs="Times New Roman"/>
                <w:b/>
                <w:color w:val="000000"/>
                <w:sz w:val="24"/>
                <w:szCs w:val="24"/>
              </w:rPr>
              <w:t xml:space="preserve"> 1:00 PM</w:t>
            </w:r>
          </w:p>
          <w:p w:rsidR="00E1649C" w:rsidRDefault="00E1649C" w:rsidP="00652581">
            <w:pPr>
              <w:autoSpaceDE w:val="0"/>
              <w:autoSpaceDN w:val="0"/>
              <w:adjustRightInd w:val="0"/>
              <w:rPr>
                <w:rFonts w:cs="Times New Roman"/>
                <w:b/>
                <w:color w:val="000000"/>
                <w:sz w:val="24"/>
                <w:szCs w:val="24"/>
              </w:rPr>
            </w:pPr>
          </w:p>
          <w:p w:rsidR="00E1649C" w:rsidRDefault="00E1649C" w:rsidP="00652581">
            <w:pPr>
              <w:autoSpaceDE w:val="0"/>
              <w:autoSpaceDN w:val="0"/>
              <w:adjustRightInd w:val="0"/>
              <w:rPr>
                <w:rFonts w:cs="Times New Roman"/>
                <w:b/>
                <w:color w:val="000000"/>
                <w:sz w:val="24"/>
                <w:szCs w:val="24"/>
              </w:rPr>
            </w:pPr>
          </w:p>
          <w:p w:rsidR="00E1649C" w:rsidRPr="003A48F4" w:rsidRDefault="00E1649C" w:rsidP="00652581">
            <w:pPr>
              <w:autoSpaceDE w:val="0"/>
              <w:autoSpaceDN w:val="0"/>
              <w:adjustRightInd w:val="0"/>
              <w:rPr>
                <w:rFonts w:cs="Times New Roman"/>
                <w:b/>
                <w:color w:val="000000"/>
                <w:sz w:val="24"/>
                <w:szCs w:val="24"/>
              </w:rPr>
            </w:pPr>
          </w:p>
        </w:tc>
        <w:tc>
          <w:tcPr>
            <w:tcW w:w="541" w:type="dxa"/>
            <w:tcBorders>
              <w:right w:val="single" w:sz="18" w:space="0" w:color="4F81BD" w:themeColor="accent1"/>
            </w:tcBorders>
            <w:shd w:val="clear" w:color="auto" w:fill="4F81BD" w:themeFill="accent1"/>
          </w:tcPr>
          <w:p w:rsidR="003A48F4" w:rsidRDefault="003A48F4" w:rsidP="00652581">
            <w:pPr>
              <w:autoSpaceDE w:val="0"/>
              <w:autoSpaceDN w:val="0"/>
              <w:adjustRightInd w:val="0"/>
              <w:rPr>
                <w:rFonts w:ascii="Palatino Linotype" w:hAnsi="Palatino Linotype" w:cs="Times New Roman"/>
                <w:color w:val="000000"/>
                <w:sz w:val="28"/>
                <w:szCs w:val="28"/>
              </w:rPr>
            </w:pPr>
          </w:p>
        </w:tc>
        <w:tc>
          <w:tcPr>
            <w:tcW w:w="5619" w:type="dxa"/>
            <w:tcBorders>
              <w:left w:val="single" w:sz="18" w:space="0" w:color="4F81BD" w:themeColor="accent1"/>
              <w:bottom w:val="single" w:sz="18" w:space="0" w:color="4F81BD" w:themeColor="accent1"/>
              <w:right w:val="single" w:sz="18" w:space="0" w:color="4F81BD" w:themeColor="accent1"/>
            </w:tcBorders>
          </w:tcPr>
          <w:p w:rsidR="008273D1" w:rsidRPr="00E1649C" w:rsidRDefault="003A48F4" w:rsidP="00E1649C">
            <w:pPr>
              <w:autoSpaceDE w:val="0"/>
              <w:autoSpaceDN w:val="0"/>
              <w:adjustRightInd w:val="0"/>
              <w:rPr>
                <w:rFonts w:cs="Verdana"/>
                <w:color w:val="000000"/>
                <w:sz w:val="20"/>
                <w:szCs w:val="20"/>
              </w:rPr>
            </w:pPr>
            <w:r w:rsidRPr="00410BA8">
              <w:rPr>
                <w:rFonts w:cs="Times New Roman"/>
                <w:b/>
                <w:color w:val="000000"/>
                <w:sz w:val="28"/>
                <w:szCs w:val="28"/>
              </w:rPr>
              <w:t>Question &amp; Answer</w:t>
            </w:r>
            <w:r w:rsidR="008273D1">
              <w:rPr>
                <w:rFonts w:cs="Times New Roman"/>
                <w:b/>
                <w:color w:val="000000"/>
                <w:sz w:val="28"/>
                <w:szCs w:val="28"/>
              </w:rPr>
              <w:t>*</w:t>
            </w:r>
            <w:r w:rsidR="008273D1" w:rsidRPr="00E1649C">
              <w:rPr>
                <w:rFonts w:cs="Verdana"/>
                <w:color w:val="000000"/>
                <w:sz w:val="20"/>
                <w:szCs w:val="20"/>
              </w:rPr>
              <w:t xml:space="preserve">Questions and Answers will be integrated into the program.  Questions are welcome in advance of and during the seminar by e-mail to </w:t>
            </w:r>
            <w:hyperlink r:id="rId6" w:history="1">
              <w:r w:rsidR="008273D1" w:rsidRPr="00E1649C">
                <w:rPr>
                  <w:rStyle w:val="Hyperlink"/>
                  <w:rFonts w:cs="Verdana"/>
                  <w:sz w:val="20"/>
                  <w:szCs w:val="20"/>
                </w:rPr>
                <w:t>psmith@indiancenter.org</w:t>
              </w:r>
            </w:hyperlink>
            <w:r w:rsidR="008273D1" w:rsidRPr="00E1649C">
              <w:rPr>
                <w:rFonts w:cs="Verdana"/>
                <w:color w:val="000000"/>
                <w:sz w:val="20"/>
                <w:szCs w:val="20"/>
              </w:rPr>
              <w:t xml:space="preserve"> (Subject line: Faculty question).</w:t>
            </w:r>
          </w:p>
          <w:p w:rsidR="008273D1" w:rsidRPr="00410BA8" w:rsidRDefault="008273D1" w:rsidP="003A48F4">
            <w:pPr>
              <w:autoSpaceDE w:val="0"/>
              <w:autoSpaceDN w:val="0"/>
              <w:adjustRightInd w:val="0"/>
              <w:ind w:left="72"/>
              <w:rPr>
                <w:rFonts w:cs="Times New Roman"/>
                <w:b/>
                <w:color w:val="000000"/>
                <w:sz w:val="28"/>
                <w:szCs w:val="28"/>
              </w:rPr>
            </w:pPr>
          </w:p>
        </w:tc>
      </w:tr>
    </w:tbl>
    <w:p w:rsidR="00E77C95" w:rsidRDefault="00E77C95" w:rsidP="00652581">
      <w:pPr>
        <w:autoSpaceDE w:val="0"/>
        <w:autoSpaceDN w:val="0"/>
        <w:adjustRightInd w:val="0"/>
        <w:spacing w:after="0" w:line="240" w:lineRule="auto"/>
        <w:rPr>
          <w:rFonts w:ascii="Palatino Linotype" w:hAnsi="Palatino Linotype" w:cs="Times New Roman"/>
          <w:color w:val="000000"/>
          <w:sz w:val="28"/>
          <w:szCs w:val="28"/>
        </w:rPr>
      </w:pPr>
    </w:p>
    <w:p w:rsidR="00765899" w:rsidRPr="00765899" w:rsidRDefault="00765899" w:rsidP="00652581">
      <w:pPr>
        <w:autoSpaceDE w:val="0"/>
        <w:autoSpaceDN w:val="0"/>
        <w:adjustRightInd w:val="0"/>
        <w:spacing w:after="0" w:line="240" w:lineRule="auto"/>
        <w:rPr>
          <w:rFonts w:cs="Times New Roman"/>
          <w:color w:val="000000"/>
          <w:sz w:val="28"/>
          <w:szCs w:val="28"/>
        </w:rPr>
      </w:pPr>
      <w:r w:rsidRPr="00765899">
        <w:rPr>
          <w:rFonts w:cs="Times New Roman"/>
          <w:color w:val="000000"/>
          <w:sz w:val="28"/>
          <w:szCs w:val="28"/>
        </w:rPr>
        <w:tab/>
      </w:r>
    </w:p>
    <w:p w:rsidR="00652581" w:rsidRPr="00652581" w:rsidRDefault="008273D1" w:rsidP="008273D1">
      <w:pPr>
        <w:autoSpaceDE w:val="0"/>
        <w:autoSpaceDN w:val="0"/>
        <w:adjustRightInd w:val="0"/>
        <w:spacing w:after="0" w:line="240" w:lineRule="auto"/>
        <w:ind w:left="2880" w:hanging="2880"/>
        <w:jc w:val="center"/>
        <w:rPr>
          <w:rFonts w:cs="Times New Roman"/>
          <w:color w:val="000000"/>
          <w:sz w:val="36"/>
          <w:szCs w:val="36"/>
        </w:rPr>
      </w:pPr>
      <w:r>
        <w:rPr>
          <w:rFonts w:cs="Times New Roman"/>
          <w:b/>
          <w:bCs/>
          <w:color w:val="000000"/>
          <w:sz w:val="36"/>
          <w:szCs w:val="36"/>
        </w:rPr>
        <w:t>A P</w:t>
      </w:r>
      <w:r w:rsidR="00765899">
        <w:rPr>
          <w:rFonts w:cs="Times New Roman"/>
          <w:b/>
          <w:bCs/>
          <w:color w:val="000000"/>
          <w:sz w:val="36"/>
          <w:szCs w:val="36"/>
        </w:rPr>
        <w:t xml:space="preserve">ractical </w:t>
      </w:r>
      <w:r w:rsidR="0082604A" w:rsidRPr="00A75DC0">
        <w:rPr>
          <w:rFonts w:cs="Times New Roman"/>
          <w:b/>
          <w:bCs/>
          <w:color w:val="000000"/>
          <w:sz w:val="36"/>
          <w:szCs w:val="36"/>
        </w:rPr>
        <w:t xml:space="preserve">Guide to </w:t>
      </w:r>
      <w:r w:rsidR="00652581" w:rsidRPr="00652581">
        <w:rPr>
          <w:rFonts w:cs="Times New Roman"/>
          <w:b/>
          <w:bCs/>
          <w:color w:val="000000"/>
          <w:sz w:val="36"/>
          <w:szCs w:val="36"/>
        </w:rPr>
        <w:t xml:space="preserve">Indian Child Welfare </w:t>
      </w:r>
      <w:r w:rsidR="0082604A" w:rsidRPr="00A75DC0">
        <w:rPr>
          <w:rFonts w:cs="Times New Roman"/>
          <w:b/>
          <w:bCs/>
          <w:color w:val="000000"/>
          <w:sz w:val="36"/>
          <w:szCs w:val="36"/>
        </w:rPr>
        <w:t>Act</w:t>
      </w:r>
    </w:p>
    <w:p w:rsidR="00652581" w:rsidRPr="00652581" w:rsidRDefault="00652581" w:rsidP="00652581">
      <w:pPr>
        <w:autoSpaceDE w:val="0"/>
        <w:autoSpaceDN w:val="0"/>
        <w:adjustRightInd w:val="0"/>
        <w:spacing w:after="0" w:line="240" w:lineRule="auto"/>
        <w:jc w:val="center"/>
        <w:rPr>
          <w:rFonts w:cs="Times New Roman"/>
          <w:color w:val="000000"/>
          <w:sz w:val="36"/>
          <w:szCs w:val="36"/>
        </w:rPr>
      </w:pPr>
      <w:r w:rsidRPr="00652581">
        <w:rPr>
          <w:rFonts w:cs="Times New Roman"/>
          <w:b/>
          <w:bCs/>
          <w:i/>
          <w:iCs/>
          <w:color w:val="000000"/>
          <w:sz w:val="36"/>
          <w:szCs w:val="36"/>
        </w:rPr>
        <w:t xml:space="preserve">Syllabus </w:t>
      </w:r>
    </w:p>
    <w:p w:rsidR="00652581" w:rsidRPr="00652581" w:rsidRDefault="00652581" w:rsidP="00652581">
      <w:pPr>
        <w:autoSpaceDE w:val="0"/>
        <w:autoSpaceDN w:val="0"/>
        <w:adjustRightInd w:val="0"/>
        <w:spacing w:after="0" w:line="240" w:lineRule="auto"/>
        <w:rPr>
          <w:rFonts w:cs="Times New Roman"/>
          <w:color w:val="000000"/>
          <w:sz w:val="28"/>
          <w:szCs w:val="28"/>
        </w:rPr>
      </w:pPr>
      <w:r w:rsidRPr="00652581">
        <w:rPr>
          <w:rFonts w:cs="Times New Roman"/>
          <w:b/>
          <w:bCs/>
          <w:color w:val="000000"/>
          <w:sz w:val="28"/>
          <w:szCs w:val="28"/>
        </w:rPr>
        <w:t xml:space="preserve">I. Course Description. </w:t>
      </w:r>
    </w:p>
    <w:p w:rsidR="0082604A" w:rsidRPr="00E570AA" w:rsidRDefault="00652581" w:rsidP="0082604A">
      <w:pPr>
        <w:autoSpaceDE w:val="0"/>
        <w:autoSpaceDN w:val="0"/>
        <w:adjustRightInd w:val="0"/>
        <w:spacing w:after="0" w:line="240" w:lineRule="auto"/>
        <w:jc w:val="both"/>
        <w:rPr>
          <w:rFonts w:cs="Times New Roman"/>
          <w:color w:val="000000"/>
          <w:sz w:val="24"/>
          <w:szCs w:val="24"/>
        </w:rPr>
      </w:pPr>
      <w:r w:rsidRPr="00E570AA">
        <w:rPr>
          <w:rFonts w:cs="Times New Roman"/>
          <w:color w:val="000000"/>
          <w:sz w:val="24"/>
          <w:szCs w:val="24"/>
        </w:rPr>
        <w:t>This course provides an introduction to Indian Child Welfare with an emphasis on understanding legal, historical, and cultural issues applying to work with American Indian and Alaskan Native youth. This course emphasizes Indian Child Welfare issues in</w:t>
      </w:r>
      <w:r w:rsidR="0082604A" w:rsidRPr="00E570AA">
        <w:rPr>
          <w:rFonts w:cs="Times New Roman"/>
          <w:color w:val="000000"/>
          <w:sz w:val="24"/>
          <w:szCs w:val="24"/>
        </w:rPr>
        <w:t xml:space="preserve"> Southern California.</w:t>
      </w:r>
      <w:r w:rsidR="00410BA8" w:rsidRPr="00E570AA">
        <w:rPr>
          <w:rFonts w:cs="Times New Roman"/>
          <w:color w:val="000000"/>
          <w:sz w:val="24"/>
          <w:szCs w:val="24"/>
        </w:rPr>
        <w:t xml:space="preserve"> </w:t>
      </w:r>
      <w:r w:rsidR="00E570AA" w:rsidRPr="00E570AA">
        <w:rPr>
          <w:rFonts w:cs="Times New Roman"/>
          <w:color w:val="000000"/>
          <w:sz w:val="24"/>
          <w:szCs w:val="24"/>
        </w:rPr>
        <w:t>Additionally, E</w:t>
      </w:r>
      <w:r w:rsidR="00410BA8" w:rsidRPr="00E570AA">
        <w:rPr>
          <w:rFonts w:cs="Times New Roman"/>
          <w:color w:val="000000"/>
          <w:sz w:val="24"/>
          <w:szCs w:val="24"/>
        </w:rPr>
        <w:t>limination of Bias</w:t>
      </w:r>
      <w:r w:rsidR="00E570AA" w:rsidRPr="00E570AA">
        <w:rPr>
          <w:rFonts w:cs="Times New Roman"/>
          <w:color w:val="000000"/>
          <w:sz w:val="24"/>
          <w:szCs w:val="24"/>
        </w:rPr>
        <w:t xml:space="preserve"> (EOB)</w:t>
      </w:r>
      <w:r w:rsidR="00410BA8" w:rsidRPr="00E570AA">
        <w:rPr>
          <w:rFonts w:cs="Times New Roman"/>
          <w:color w:val="000000"/>
          <w:sz w:val="24"/>
          <w:szCs w:val="24"/>
        </w:rPr>
        <w:t xml:space="preserve"> is an important goal; by drawing attention to these issues and by providing guidelines for their elimination</w:t>
      </w:r>
      <w:r w:rsidR="000A55BA">
        <w:rPr>
          <w:rFonts w:cs="Times New Roman"/>
          <w:color w:val="000000"/>
          <w:sz w:val="24"/>
          <w:szCs w:val="24"/>
        </w:rPr>
        <w:t>,</w:t>
      </w:r>
      <w:r w:rsidR="00410BA8" w:rsidRPr="00E570AA">
        <w:rPr>
          <w:rFonts w:cs="Times New Roman"/>
          <w:color w:val="000000"/>
          <w:sz w:val="24"/>
          <w:szCs w:val="24"/>
        </w:rPr>
        <w:t xml:space="preserve"> participants will learn which interpersonal skills are key in recognizing and dealing with an area of potential bias, or which strategies can be used to overcome perceived biases. Judges and or attorneys may (unwittingly) retain biases and the harmful effect of bias can impact the judicial system, the law firm, an attorney’s business, and even the public’s perception of the law.  More importantly, the harmful effect of bias can and has changed children’s lives forever.</w:t>
      </w:r>
    </w:p>
    <w:p w:rsidR="00E570AA" w:rsidRDefault="00E570AA" w:rsidP="00652581">
      <w:pPr>
        <w:autoSpaceDE w:val="0"/>
        <w:autoSpaceDN w:val="0"/>
        <w:adjustRightInd w:val="0"/>
        <w:spacing w:after="0" w:line="240" w:lineRule="auto"/>
        <w:rPr>
          <w:rFonts w:cs="Times New Roman"/>
          <w:b/>
          <w:bCs/>
          <w:color w:val="000000"/>
          <w:sz w:val="28"/>
          <w:szCs w:val="28"/>
        </w:rPr>
      </w:pPr>
    </w:p>
    <w:p w:rsidR="00652581" w:rsidRPr="00652581" w:rsidRDefault="00652581" w:rsidP="00652581">
      <w:pPr>
        <w:autoSpaceDE w:val="0"/>
        <w:autoSpaceDN w:val="0"/>
        <w:adjustRightInd w:val="0"/>
        <w:spacing w:after="0" w:line="240" w:lineRule="auto"/>
        <w:rPr>
          <w:rFonts w:cs="Times New Roman"/>
          <w:color w:val="000000"/>
          <w:sz w:val="28"/>
          <w:szCs w:val="28"/>
        </w:rPr>
      </w:pPr>
      <w:r w:rsidRPr="00652581">
        <w:rPr>
          <w:rFonts w:cs="Times New Roman"/>
          <w:b/>
          <w:bCs/>
          <w:color w:val="000000"/>
          <w:sz w:val="28"/>
          <w:szCs w:val="28"/>
        </w:rPr>
        <w:t xml:space="preserve">II. Learning Objectives </w:t>
      </w:r>
    </w:p>
    <w:p w:rsidR="00652581" w:rsidRPr="00E570AA" w:rsidRDefault="00652581" w:rsidP="00652581">
      <w:pPr>
        <w:autoSpaceDE w:val="0"/>
        <w:autoSpaceDN w:val="0"/>
        <w:adjustRightInd w:val="0"/>
        <w:spacing w:after="0" w:line="240" w:lineRule="auto"/>
        <w:rPr>
          <w:rFonts w:cs="Times New Roman"/>
          <w:color w:val="000000"/>
          <w:sz w:val="24"/>
          <w:szCs w:val="24"/>
        </w:rPr>
      </w:pPr>
      <w:r w:rsidRPr="00E570AA">
        <w:rPr>
          <w:rFonts w:cs="Times New Roman"/>
          <w:color w:val="000000"/>
          <w:sz w:val="24"/>
          <w:szCs w:val="24"/>
        </w:rPr>
        <w:t xml:space="preserve">At the completion of this course, </w:t>
      </w:r>
      <w:r w:rsidR="0082604A" w:rsidRPr="00E570AA">
        <w:rPr>
          <w:rFonts w:cs="Times New Roman"/>
          <w:color w:val="000000"/>
          <w:sz w:val="24"/>
          <w:szCs w:val="24"/>
        </w:rPr>
        <w:t xml:space="preserve">participants </w:t>
      </w:r>
      <w:r w:rsidRPr="00E570AA">
        <w:rPr>
          <w:rFonts w:cs="Times New Roman"/>
          <w:color w:val="000000"/>
          <w:sz w:val="24"/>
          <w:szCs w:val="24"/>
        </w:rPr>
        <w:t xml:space="preserve">will be able to: </w:t>
      </w:r>
    </w:p>
    <w:p w:rsidR="00A75DC0" w:rsidRPr="00E570AA" w:rsidRDefault="00A75DC0" w:rsidP="00652581">
      <w:pPr>
        <w:autoSpaceDE w:val="0"/>
        <w:autoSpaceDN w:val="0"/>
        <w:adjustRightInd w:val="0"/>
        <w:spacing w:after="0" w:line="240" w:lineRule="auto"/>
        <w:rPr>
          <w:rFonts w:cs="Times New Roman"/>
          <w:color w:val="000000"/>
          <w:sz w:val="24"/>
          <w:szCs w:val="24"/>
        </w:rPr>
      </w:pPr>
    </w:p>
    <w:p w:rsidR="000474C2" w:rsidRDefault="000474C2" w:rsidP="000474C2">
      <w:pPr>
        <w:pStyle w:val="ListParagraph"/>
        <w:numPr>
          <w:ilvl w:val="0"/>
          <w:numId w:val="1"/>
        </w:numPr>
        <w:autoSpaceDE w:val="0"/>
        <w:autoSpaceDN w:val="0"/>
        <w:adjustRightInd w:val="0"/>
        <w:spacing w:after="0" w:line="240" w:lineRule="auto"/>
        <w:rPr>
          <w:rFonts w:cs="Times New Roman"/>
          <w:color w:val="000000"/>
          <w:sz w:val="24"/>
          <w:szCs w:val="24"/>
        </w:rPr>
      </w:pPr>
      <w:r w:rsidRPr="00E570AA">
        <w:rPr>
          <w:rFonts w:cs="Times New Roman"/>
          <w:color w:val="000000"/>
          <w:sz w:val="24"/>
          <w:szCs w:val="24"/>
        </w:rPr>
        <w:t>Understand the principal elements of the Indian Child Welfare Act of 1978 (ICWA) and the implications of this law and related policies for child welfare practice: compliance, application and the spirit of the LAW</w:t>
      </w:r>
      <w:r>
        <w:rPr>
          <w:rFonts w:cs="Times New Roman"/>
          <w:color w:val="000000"/>
          <w:sz w:val="24"/>
          <w:szCs w:val="24"/>
        </w:rPr>
        <w:t>, including roles of judges and lawyers within the judicial system.</w:t>
      </w:r>
    </w:p>
    <w:p w:rsidR="000474C2" w:rsidRPr="00E570AA" w:rsidRDefault="000474C2" w:rsidP="000474C2">
      <w:pPr>
        <w:pStyle w:val="ListParagraph"/>
        <w:autoSpaceDE w:val="0"/>
        <w:autoSpaceDN w:val="0"/>
        <w:adjustRightInd w:val="0"/>
        <w:spacing w:after="0" w:line="240" w:lineRule="auto"/>
        <w:rPr>
          <w:rFonts w:cs="Times New Roman"/>
          <w:color w:val="000000"/>
          <w:sz w:val="24"/>
          <w:szCs w:val="24"/>
        </w:rPr>
      </w:pPr>
    </w:p>
    <w:p w:rsidR="00652581" w:rsidRPr="00E570AA" w:rsidRDefault="00652581" w:rsidP="00A75DC0">
      <w:pPr>
        <w:pStyle w:val="ListParagraph"/>
        <w:numPr>
          <w:ilvl w:val="0"/>
          <w:numId w:val="1"/>
        </w:numPr>
        <w:autoSpaceDE w:val="0"/>
        <w:autoSpaceDN w:val="0"/>
        <w:adjustRightInd w:val="0"/>
        <w:spacing w:after="0" w:line="240" w:lineRule="auto"/>
        <w:rPr>
          <w:rFonts w:cs="Times New Roman"/>
          <w:color w:val="000000"/>
          <w:sz w:val="24"/>
          <w:szCs w:val="24"/>
        </w:rPr>
      </w:pPr>
      <w:r w:rsidRPr="00E570AA">
        <w:rPr>
          <w:rFonts w:cs="Times New Roman"/>
          <w:color w:val="000000"/>
          <w:sz w:val="24"/>
          <w:szCs w:val="24"/>
        </w:rPr>
        <w:t xml:space="preserve">Outline the history of </w:t>
      </w:r>
      <w:r w:rsidR="000A55BA">
        <w:rPr>
          <w:rFonts w:cs="Times New Roman"/>
          <w:color w:val="000000"/>
          <w:sz w:val="24"/>
          <w:szCs w:val="24"/>
        </w:rPr>
        <w:t>Indian Child Welfare e</w:t>
      </w:r>
      <w:r w:rsidR="00A75DC0" w:rsidRPr="00E570AA">
        <w:rPr>
          <w:rFonts w:cs="Times New Roman"/>
          <w:color w:val="000000"/>
          <w:sz w:val="24"/>
          <w:szCs w:val="24"/>
        </w:rPr>
        <w:t>fforts 130 years ago to present day</w:t>
      </w:r>
      <w:r w:rsidRPr="00E570AA">
        <w:rPr>
          <w:rFonts w:cs="Times New Roman"/>
          <w:color w:val="000000"/>
          <w:sz w:val="24"/>
          <w:szCs w:val="24"/>
        </w:rPr>
        <w:t xml:space="preserve">. </w:t>
      </w:r>
    </w:p>
    <w:p w:rsidR="00A75DC0" w:rsidRPr="00E570AA" w:rsidRDefault="00A75DC0" w:rsidP="00A75DC0">
      <w:pPr>
        <w:pStyle w:val="ListParagraph"/>
        <w:autoSpaceDE w:val="0"/>
        <w:autoSpaceDN w:val="0"/>
        <w:adjustRightInd w:val="0"/>
        <w:spacing w:after="0" w:line="240" w:lineRule="auto"/>
        <w:rPr>
          <w:rFonts w:cs="Times New Roman"/>
          <w:color w:val="000000"/>
          <w:sz w:val="24"/>
          <w:szCs w:val="24"/>
        </w:rPr>
      </w:pPr>
    </w:p>
    <w:p w:rsidR="00A75DC0" w:rsidRPr="00E570AA" w:rsidRDefault="00652581" w:rsidP="00652581">
      <w:pPr>
        <w:pStyle w:val="ListParagraph"/>
        <w:numPr>
          <w:ilvl w:val="0"/>
          <w:numId w:val="1"/>
        </w:numPr>
        <w:autoSpaceDE w:val="0"/>
        <w:autoSpaceDN w:val="0"/>
        <w:adjustRightInd w:val="0"/>
        <w:spacing w:after="0" w:line="240" w:lineRule="auto"/>
        <w:rPr>
          <w:rFonts w:cs="Times New Roman"/>
          <w:color w:val="000000"/>
          <w:sz w:val="24"/>
          <w:szCs w:val="24"/>
        </w:rPr>
      </w:pPr>
      <w:r w:rsidRPr="00E570AA">
        <w:rPr>
          <w:rFonts w:cs="Times New Roman"/>
          <w:color w:val="000000"/>
          <w:sz w:val="24"/>
          <w:szCs w:val="24"/>
        </w:rPr>
        <w:t xml:space="preserve">Demonstrate an understanding of sovereignty as it applies to American Indian Nations. </w:t>
      </w:r>
    </w:p>
    <w:p w:rsidR="00A75DC0" w:rsidRPr="00E570AA" w:rsidRDefault="00A75DC0" w:rsidP="00A75DC0">
      <w:pPr>
        <w:pStyle w:val="ListParagraph"/>
        <w:rPr>
          <w:rFonts w:cs="Times New Roman"/>
          <w:color w:val="000000"/>
          <w:sz w:val="24"/>
          <w:szCs w:val="24"/>
        </w:rPr>
      </w:pPr>
    </w:p>
    <w:p w:rsidR="00A75DC0" w:rsidRPr="00E570AA" w:rsidRDefault="00E570AA" w:rsidP="00652581">
      <w:pPr>
        <w:pStyle w:val="ListParagraph"/>
        <w:numPr>
          <w:ilvl w:val="0"/>
          <w:numId w:val="1"/>
        </w:numPr>
        <w:autoSpaceDE w:val="0"/>
        <w:autoSpaceDN w:val="0"/>
        <w:adjustRightInd w:val="0"/>
        <w:spacing w:after="0" w:line="240" w:lineRule="auto"/>
        <w:rPr>
          <w:rFonts w:cs="Times New Roman"/>
          <w:color w:val="000000"/>
          <w:sz w:val="24"/>
          <w:szCs w:val="24"/>
        </w:rPr>
      </w:pPr>
      <w:r w:rsidRPr="00E570AA">
        <w:rPr>
          <w:rFonts w:cs="Times New Roman"/>
          <w:color w:val="000000"/>
          <w:sz w:val="24"/>
          <w:szCs w:val="24"/>
        </w:rPr>
        <w:t xml:space="preserve">Examine </w:t>
      </w:r>
      <w:r w:rsidR="00652581" w:rsidRPr="00E570AA">
        <w:rPr>
          <w:rFonts w:cs="Times New Roman"/>
          <w:color w:val="000000"/>
          <w:sz w:val="24"/>
          <w:szCs w:val="24"/>
        </w:rPr>
        <w:t xml:space="preserve">values and ethics in relation to Indian Child Welfare practice and the ICWA act. </w:t>
      </w:r>
    </w:p>
    <w:p w:rsidR="00A75DC0" w:rsidRPr="00E570AA" w:rsidRDefault="00A75DC0" w:rsidP="00A75DC0">
      <w:pPr>
        <w:pStyle w:val="ListParagraph"/>
        <w:rPr>
          <w:rFonts w:cs="Times New Roman"/>
          <w:color w:val="000000"/>
          <w:sz w:val="24"/>
          <w:szCs w:val="24"/>
        </w:rPr>
      </w:pPr>
    </w:p>
    <w:p w:rsidR="00A75DC0" w:rsidRPr="00E570AA" w:rsidRDefault="00652581" w:rsidP="00652581">
      <w:pPr>
        <w:pStyle w:val="ListParagraph"/>
        <w:numPr>
          <w:ilvl w:val="0"/>
          <w:numId w:val="1"/>
        </w:numPr>
        <w:autoSpaceDE w:val="0"/>
        <w:autoSpaceDN w:val="0"/>
        <w:adjustRightInd w:val="0"/>
        <w:spacing w:after="0" w:line="240" w:lineRule="auto"/>
        <w:rPr>
          <w:rFonts w:cs="Times New Roman"/>
          <w:color w:val="000000"/>
          <w:sz w:val="24"/>
          <w:szCs w:val="24"/>
        </w:rPr>
      </w:pPr>
      <w:r w:rsidRPr="00E570AA">
        <w:rPr>
          <w:rFonts w:cs="Times New Roman"/>
          <w:color w:val="000000"/>
          <w:sz w:val="24"/>
          <w:szCs w:val="24"/>
        </w:rPr>
        <w:t xml:space="preserve">Discuss culturally competent elements of Indian child welfare practice. </w:t>
      </w:r>
    </w:p>
    <w:p w:rsidR="00A75DC0" w:rsidRDefault="00A75DC0"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Default="00E1649C" w:rsidP="00A75DC0">
      <w:pPr>
        <w:pStyle w:val="ListParagraph"/>
        <w:rPr>
          <w:rFonts w:cs="Times New Roman"/>
          <w:color w:val="000000"/>
          <w:sz w:val="24"/>
          <w:szCs w:val="24"/>
        </w:rPr>
      </w:pPr>
    </w:p>
    <w:p w:rsidR="00E1649C" w:rsidRPr="00E570AA" w:rsidRDefault="00E1649C" w:rsidP="00A75DC0">
      <w:pPr>
        <w:pStyle w:val="ListParagraph"/>
        <w:rPr>
          <w:rFonts w:cs="Times New Roman"/>
          <w:color w:val="000000"/>
          <w:sz w:val="24"/>
          <w:szCs w:val="24"/>
        </w:rPr>
      </w:pPr>
    </w:p>
    <w:p w:rsidR="000474C2" w:rsidRDefault="000474C2" w:rsidP="000474C2">
      <w:pPr>
        <w:autoSpaceDE w:val="0"/>
        <w:autoSpaceDN w:val="0"/>
        <w:adjustRightInd w:val="0"/>
        <w:spacing w:after="0" w:line="240" w:lineRule="auto"/>
        <w:rPr>
          <w:rFonts w:cs="Times New Roman"/>
          <w:b/>
          <w:bCs/>
          <w:sz w:val="28"/>
          <w:szCs w:val="28"/>
        </w:rPr>
      </w:pPr>
      <w:r w:rsidRPr="00652581">
        <w:rPr>
          <w:rFonts w:cs="Times New Roman"/>
          <w:b/>
          <w:bCs/>
          <w:sz w:val="28"/>
          <w:szCs w:val="28"/>
        </w:rPr>
        <w:lastRenderedPageBreak/>
        <w:t>I</w:t>
      </w:r>
      <w:r>
        <w:rPr>
          <w:rFonts w:cs="Times New Roman"/>
          <w:b/>
          <w:bCs/>
          <w:sz w:val="28"/>
          <w:szCs w:val="28"/>
        </w:rPr>
        <w:t>II. Additional Resources</w:t>
      </w:r>
      <w:r w:rsidRPr="00652581">
        <w:rPr>
          <w:rFonts w:cs="Times New Roman"/>
          <w:b/>
          <w:bCs/>
          <w:sz w:val="28"/>
          <w:szCs w:val="28"/>
        </w:rPr>
        <w:t xml:space="preserve"> </w:t>
      </w:r>
      <w:r>
        <w:rPr>
          <w:rFonts w:cs="Times New Roman"/>
          <w:b/>
          <w:bCs/>
          <w:sz w:val="28"/>
          <w:szCs w:val="28"/>
        </w:rPr>
        <w:t>/Course Collaborators</w:t>
      </w:r>
    </w:p>
    <w:p w:rsidR="008273D1" w:rsidRPr="000A55BA" w:rsidRDefault="008273D1" w:rsidP="000474C2">
      <w:pPr>
        <w:autoSpaceDE w:val="0"/>
        <w:autoSpaceDN w:val="0"/>
        <w:adjustRightInd w:val="0"/>
        <w:spacing w:after="0" w:line="240" w:lineRule="auto"/>
        <w:rPr>
          <w:rFonts w:cs="Times New Roman"/>
          <w:b/>
          <w:bCs/>
          <w:sz w:val="18"/>
          <w:szCs w:val="18"/>
        </w:rPr>
      </w:pPr>
    </w:p>
    <w:tbl>
      <w:tblPr>
        <w:tblStyle w:val="TableGrid"/>
        <w:tblW w:w="9918" w:type="dxa"/>
        <w:tblBorders>
          <w:insideH w:val="none" w:sz="0" w:space="0" w:color="auto"/>
          <w:insideV w:val="none" w:sz="0" w:space="0" w:color="auto"/>
        </w:tblBorders>
        <w:tblLayout w:type="fixed"/>
        <w:tblLook w:val="04A0" w:firstRow="1" w:lastRow="0" w:firstColumn="1" w:lastColumn="0" w:noHBand="0" w:noVBand="1"/>
      </w:tblPr>
      <w:tblGrid>
        <w:gridCol w:w="5598"/>
        <w:gridCol w:w="360"/>
        <w:gridCol w:w="3960"/>
      </w:tblGrid>
      <w:tr w:rsidR="00431C69" w:rsidRPr="009B6EFC" w:rsidTr="000A55BA">
        <w:tc>
          <w:tcPr>
            <w:tcW w:w="9918" w:type="dxa"/>
            <w:gridSpan w:val="3"/>
            <w:shd w:val="clear" w:color="auto" w:fill="auto"/>
          </w:tcPr>
          <w:p w:rsidR="00431C69" w:rsidRPr="009B6EFC" w:rsidRDefault="00431C69" w:rsidP="00431C69">
            <w:pPr>
              <w:rPr>
                <w:b/>
              </w:rPr>
            </w:pPr>
            <w:r w:rsidRPr="009B6EFC">
              <w:rPr>
                <w:b/>
              </w:rPr>
              <w:t>Federal Authority</w:t>
            </w:r>
          </w:p>
          <w:p w:rsidR="00431C69" w:rsidRPr="009B6EFC" w:rsidRDefault="00431C69" w:rsidP="00431C69">
            <w:pPr>
              <w:shd w:val="clear" w:color="auto" w:fill="FFFFFF"/>
              <w:spacing w:beforeAutospacing="1" w:after="100" w:afterAutospacing="1" w:line="240" w:lineRule="atLeast"/>
              <w:rPr>
                <w:rFonts w:eastAsia="Times New Roman" w:cs="Arial"/>
              </w:rPr>
            </w:pPr>
            <w:r w:rsidRPr="009B6EFC">
              <w:rPr>
                <w:rFonts w:eastAsia="Times New Roman" w:cs="Arial"/>
              </w:rPr>
              <w:t xml:space="preserve">Bureau of Indian Affairs Guidelines </w:t>
            </w:r>
          </w:p>
          <w:p w:rsidR="00431C69" w:rsidRPr="009B6EFC" w:rsidRDefault="00431C69" w:rsidP="00431C69">
            <w:pPr>
              <w:shd w:val="clear" w:color="auto" w:fill="FFFFFF"/>
              <w:spacing w:before="100" w:beforeAutospacing="1" w:after="100" w:afterAutospacing="1" w:line="240" w:lineRule="atLeast"/>
              <w:rPr>
                <w:rFonts w:eastAsia="Times New Roman" w:cs="Arial"/>
              </w:rPr>
            </w:pPr>
            <w:r w:rsidRPr="009B6EFC">
              <w:rPr>
                <w:rFonts w:eastAsia="Times New Roman" w:cs="Arial"/>
              </w:rPr>
              <w:t xml:space="preserve">Code of Federal Regulations - Indian Child Welfare Act </w:t>
            </w:r>
          </w:p>
          <w:p w:rsidR="00431C69" w:rsidRDefault="00431C69" w:rsidP="009B6EFC">
            <w:pPr>
              <w:shd w:val="clear" w:color="auto" w:fill="FFFFFF"/>
              <w:spacing w:before="100" w:beforeAutospacing="1" w:after="100" w:afterAutospacing="1" w:line="240" w:lineRule="atLeast"/>
              <w:rPr>
                <w:rFonts w:eastAsia="Times New Roman" w:cs="Arial"/>
              </w:rPr>
            </w:pPr>
            <w:r w:rsidRPr="009B6EFC">
              <w:rPr>
                <w:rFonts w:eastAsia="Times New Roman" w:cs="Arial"/>
              </w:rPr>
              <w:t>Indian Child Welfare Act</w:t>
            </w:r>
          </w:p>
          <w:p w:rsidR="000A55BA" w:rsidRPr="009B6EFC" w:rsidRDefault="000A55BA" w:rsidP="009B6EFC">
            <w:pPr>
              <w:shd w:val="clear" w:color="auto" w:fill="FFFFFF"/>
              <w:spacing w:before="100" w:beforeAutospacing="1" w:after="100" w:afterAutospacing="1" w:line="240" w:lineRule="atLeast"/>
              <w:rPr>
                <w:rFonts w:eastAsia="Times New Roman" w:cs="Arial"/>
              </w:rPr>
            </w:pPr>
          </w:p>
        </w:tc>
      </w:tr>
      <w:tr w:rsidR="00431C69" w:rsidRPr="009B6EFC" w:rsidTr="000A55BA">
        <w:tc>
          <w:tcPr>
            <w:tcW w:w="9918" w:type="dxa"/>
            <w:gridSpan w:val="3"/>
          </w:tcPr>
          <w:p w:rsidR="00431C69" w:rsidRPr="009B6EFC" w:rsidRDefault="00431C69" w:rsidP="00410DE9">
            <w:pPr>
              <w:rPr>
                <w:b/>
              </w:rPr>
            </w:pPr>
            <w:r w:rsidRPr="009B6EFC">
              <w:rPr>
                <w:b/>
              </w:rPr>
              <w:t>State Statues</w:t>
            </w:r>
          </w:p>
          <w:p w:rsidR="00431C69" w:rsidRPr="009B6EFC" w:rsidRDefault="00431C69" w:rsidP="00431C69">
            <w:pPr>
              <w:shd w:val="clear" w:color="auto" w:fill="FFFFFF"/>
              <w:spacing w:beforeAutospacing="1"/>
              <w:rPr>
                <w:rFonts w:eastAsia="Times New Roman" w:cs="Arial"/>
              </w:rPr>
            </w:pPr>
            <w:r w:rsidRPr="009B6EFC">
              <w:rPr>
                <w:rFonts w:eastAsia="Times New Roman" w:cs="Arial"/>
              </w:rPr>
              <w:t xml:space="preserve">California Family Code Provisions Implementing the Indian Child Welfare Act </w:t>
            </w:r>
          </w:p>
          <w:p w:rsidR="00431C69" w:rsidRPr="009B6EFC" w:rsidRDefault="00431C69" w:rsidP="00431C69">
            <w:pPr>
              <w:shd w:val="clear" w:color="auto" w:fill="FFFFFF"/>
              <w:spacing w:before="100" w:beforeAutospacing="1" w:after="100" w:afterAutospacing="1" w:line="240" w:lineRule="atLeast"/>
              <w:rPr>
                <w:rFonts w:eastAsia="Times New Roman" w:cs="Arial"/>
              </w:rPr>
            </w:pPr>
            <w:r w:rsidRPr="009B6EFC">
              <w:rPr>
                <w:rFonts w:eastAsia="Times New Roman" w:cs="Arial"/>
              </w:rPr>
              <w:t xml:space="preserve">California Probate Code Sections implementing the Indian Child Welfare Act </w:t>
            </w:r>
          </w:p>
          <w:p w:rsidR="00431C69" w:rsidRDefault="00431C69" w:rsidP="009B6EFC">
            <w:pPr>
              <w:shd w:val="clear" w:color="auto" w:fill="FFFFFF"/>
              <w:spacing w:before="100" w:beforeAutospacing="1" w:after="100" w:afterAutospacing="1" w:line="240" w:lineRule="atLeast"/>
              <w:rPr>
                <w:rFonts w:eastAsia="Times New Roman" w:cs="Arial"/>
              </w:rPr>
            </w:pPr>
            <w:r w:rsidRPr="009B6EFC">
              <w:rPr>
                <w:rFonts w:eastAsia="Times New Roman" w:cs="Arial"/>
              </w:rPr>
              <w:t>California Welfare and Institutions Code Provisions implementing the Indian Child Welfare Act  </w:t>
            </w:r>
          </w:p>
          <w:p w:rsidR="000A55BA" w:rsidRPr="009B6EFC" w:rsidRDefault="000A55BA" w:rsidP="009B6EFC">
            <w:pPr>
              <w:shd w:val="clear" w:color="auto" w:fill="FFFFFF"/>
              <w:spacing w:before="100" w:beforeAutospacing="1" w:after="100" w:afterAutospacing="1" w:line="240" w:lineRule="atLeast"/>
              <w:rPr>
                <w:rFonts w:eastAsia="Times New Roman" w:cs="Arial"/>
              </w:rPr>
            </w:pPr>
          </w:p>
        </w:tc>
      </w:tr>
      <w:tr w:rsidR="008273D1" w:rsidRPr="009B6EFC" w:rsidTr="000A55BA">
        <w:tc>
          <w:tcPr>
            <w:tcW w:w="5598" w:type="dxa"/>
          </w:tcPr>
          <w:p w:rsidR="008273D1" w:rsidRPr="009B6EFC" w:rsidRDefault="008273D1" w:rsidP="00410DE9">
            <w:r w:rsidRPr="009B6EFC">
              <w:t>California Courts - the Judicial Branch of California</w:t>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E76455" w:rsidP="00410DE9">
            <w:hyperlink r:id="rId7" w:history="1">
              <w:r w:rsidR="008273D1" w:rsidRPr="009B6EFC">
                <w:rPr>
                  <w:rStyle w:val="Hyperlink"/>
                </w:rPr>
                <w:t>http://www.courts.ca.gov/3067.htm</w:t>
              </w:r>
            </w:hyperlink>
          </w:p>
        </w:tc>
      </w:tr>
      <w:tr w:rsidR="008273D1" w:rsidRPr="009B6EFC" w:rsidTr="000A55BA">
        <w:tc>
          <w:tcPr>
            <w:tcW w:w="5598" w:type="dxa"/>
          </w:tcPr>
          <w:p w:rsidR="008273D1" w:rsidRPr="009B6EFC" w:rsidRDefault="008273D1" w:rsidP="00410DE9"/>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c>
          <w:tcPr>
            <w:tcW w:w="5598" w:type="dxa"/>
          </w:tcPr>
          <w:p w:rsidR="008273D1" w:rsidRPr="009B6EFC" w:rsidRDefault="008273D1" w:rsidP="00410DE9">
            <w:r w:rsidRPr="009B6EFC">
              <w:t>California Courts - Statewide Service Directory</w:t>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E76455" w:rsidP="00410DE9">
            <w:hyperlink r:id="rId8" w:history="1">
              <w:r w:rsidR="008273D1" w:rsidRPr="009B6EFC">
                <w:rPr>
                  <w:rStyle w:val="Hyperlink"/>
                </w:rPr>
                <w:t>http://www.courts.ca.gov/5807.htm</w:t>
              </w:r>
            </w:hyperlink>
          </w:p>
        </w:tc>
      </w:tr>
      <w:tr w:rsidR="008273D1" w:rsidRPr="009B6EFC" w:rsidTr="000A55BA">
        <w:tc>
          <w:tcPr>
            <w:tcW w:w="5598" w:type="dxa"/>
          </w:tcPr>
          <w:p w:rsidR="008273D1" w:rsidRPr="009B6EFC" w:rsidRDefault="008273D1" w:rsidP="00410DE9"/>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c>
          <w:tcPr>
            <w:tcW w:w="5598" w:type="dxa"/>
          </w:tcPr>
          <w:p w:rsidR="008273D1" w:rsidRPr="009B6EFC" w:rsidRDefault="008273D1" w:rsidP="00410DE9">
            <w:pPr>
              <w:rPr>
                <w:i/>
              </w:rPr>
            </w:pPr>
            <w:r w:rsidRPr="009B6EFC">
              <w:rPr>
                <w:i/>
              </w:rPr>
              <w:t xml:space="preserve">ICWA Facts &amp; Fiction: </w:t>
            </w:r>
          </w:p>
          <w:p w:rsidR="008273D1" w:rsidRPr="009B6EFC" w:rsidRDefault="008273D1" w:rsidP="00410DE9">
            <w:pPr>
              <w:rPr>
                <w:i/>
              </w:rPr>
            </w:pPr>
            <w:r w:rsidRPr="009B6EFC">
              <w:t>National Council of Juvenile and Family Courts</w:t>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E76455" w:rsidP="00410DE9">
            <w:hyperlink r:id="rId9" w:history="1">
              <w:r w:rsidR="008273D1" w:rsidRPr="009B6EFC">
                <w:rPr>
                  <w:rStyle w:val="Hyperlink"/>
                </w:rPr>
                <w:t>www.ncjfcj.org</w:t>
              </w:r>
            </w:hyperlink>
          </w:p>
        </w:tc>
      </w:tr>
      <w:tr w:rsidR="008273D1" w:rsidRPr="009B6EFC" w:rsidTr="000A55BA">
        <w:tc>
          <w:tcPr>
            <w:tcW w:w="5598" w:type="dxa"/>
          </w:tcPr>
          <w:p w:rsidR="008273D1" w:rsidRPr="009B6EFC" w:rsidRDefault="008273D1" w:rsidP="00410DE9"/>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c>
          <w:tcPr>
            <w:tcW w:w="5598" w:type="dxa"/>
          </w:tcPr>
          <w:p w:rsidR="008273D1" w:rsidRPr="009B6EFC" w:rsidRDefault="008273D1" w:rsidP="00410DE9">
            <w:pPr>
              <w:pStyle w:val="Heading1"/>
              <w:spacing w:before="100" w:beforeAutospacing="1"/>
              <w:outlineLvl w:val="0"/>
              <w:rPr>
                <w:rFonts w:asciiTheme="minorHAnsi" w:hAnsiTheme="minorHAnsi"/>
                <w:i/>
                <w:color w:val="000000"/>
                <w:sz w:val="22"/>
                <w:szCs w:val="22"/>
                <w:lang w:val="en"/>
              </w:rPr>
            </w:pPr>
            <w:r w:rsidRPr="009B6EFC">
              <w:rPr>
                <w:rFonts w:asciiTheme="minorHAnsi" w:hAnsiTheme="minorHAnsi"/>
                <w:i/>
                <w:color w:val="000000"/>
                <w:sz w:val="22"/>
                <w:szCs w:val="22"/>
                <w:lang w:val="en"/>
              </w:rPr>
              <w:t>To Dry the Eyes of Indian Adoptees</w:t>
            </w:r>
            <w:r w:rsidRPr="009B6EFC">
              <w:rPr>
                <w:rFonts w:asciiTheme="minorHAnsi" w:hAnsiTheme="minorHAnsi"/>
                <w:color w:val="000000"/>
                <w:sz w:val="22"/>
                <w:szCs w:val="22"/>
                <w:lang w:val="en"/>
              </w:rPr>
              <w:tab/>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pPr>
              <w:rPr>
                <w:color w:val="000000"/>
                <w:lang w:val="en"/>
              </w:rPr>
            </w:pPr>
            <w:r w:rsidRPr="009B6EFC">
              <w:rPr>
                <w:color w:val="000000"/>
                <w:lang w:val="en"/>
              </w:rPr>
              <w:t xml:space="preserve">^Mary </w:t>
            </w:r>
            <w:proofErr w:type="spellStart"/>
            <w:r w:rsidRPr="009B6EFC">
              <w:rPr>
                <w:color w:val="000000"/>
                <w:lang w:val="en"/>
              </w:rPr>
              <w:t>Annete</w:t>
            </w:r>
            <w:proofErr w:type="spellEnd"/>
            <w:r w:rsidRPr="009B6EFC">
              <w:rPr>
                <w:color w:val="000000"/>
                <w:lang w:val="en"/>
              </w:rPr>
              <w:t xml:space="preserve"> </w:t>
            </w:r>
            <w:proofErr w:type="spellStart"/>
            <w:r w:rsidRPr="009B6EFC">
              <w:rPr>
                <w:color w:val="000000"/>
                <w:lang w:val="en"/>
              </w:rPr>
              <w:t>Pember</w:t>
            </w:r>
            <w:proofErr w:type="spellEnd"/>
          </w:p>
          <w:p w:rsidR="008273D1" w:rsidRPr="009B6EFC" w:rsidRDefault="00E76455" w:rsidP="00410DE9">
            <w:hyperlink r:id="rId10" w:history="1">
              <w:r w:rsidR="008273D1" w:rsidRPr="009B6EFC">
                <w:rPr>
                  <w:rStyle w:val="Hyperlink"/>
                  <w:lang w:val="en"/>
                </w:rPr>
                <w:t>http://www.dailyyonder.com/indian-adoptions/2010/03/12/2637</w:t>
              </w:r>
            </w:hyperlink>
          </w:p>
        </w:tc>
      </w:tr>
      <w:tr w:rsidR="008273D1" w:rsidRPr="009B6EFC" w:rsidTr="000A55BA">
        <w:tc>
          <w:tcPr>
            <w:tcW w:w="5598" w:type="dxa"/>
          </w:tcPr>
          <w:p w:rsidR="008273D1" w:rsidRPr="009B6EFC" w:rsidRDefault="008273D1" w:rsidP="00410DE9"/>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c>
          <w:tcPr>
            <w:tcW w:w="5598" w:type="dxa"/>
          </w:tcPr>
          <w:p w:rsidR="008273D1" w:rsidRPr="009B6EFC" w:rsidRDefault="008273D1" w:rsidP="00410DE9">
            <w:pPr>
              <w:autoSpaceDE w:val="0"/>
              <w:autoSpaceDN w:val="0"/>
              <w:adjustRightInd w:val="0"/>
              <w:rPr>
                <w:rFonts w:cs="AvenirLTStd-Heavy"/>
                <w:i/>
              </w:rPr>
            </w:pPr>
            <w:r w:rsidRPr="009B6EFC">
              <w:rPr>
                <w:rFonts w:cs="AvenirLTStd-Heavy"/>
                <w:i/>
              </w:rPr>
              <w:t>Our Children Are Sacred</w:t>
            </w:r>
          </w:p>
          <w:p w:rsidR="008273D1" w:rsidRPr="009B6EFC" w:rsidRDefault="008273D1" w:rsidP="00410DE9">
            <w:pPr>
              <w:autoSpaceDE w:val="0"/>
              <w:autoSpaceDN w:val="0"/>
              <w:adjustRightInd w:val="0"/>
              <w:rPr>
                <w:rFonts w:cs="AvenirLTStd-Roman"/>
                <w:i/>
              </w:rPr>
            </w:pPr>
            <w:r w:rsidRPr="009B6EFC">
              <w:rPr>
                <w:rFonts w:cs="AvenirLTStd-Roman"/>
                <w:i/>
              </w:rPr>
              <w:t>Why the Indian Child Welfare Act Matters</w:t>
            </w:r>
          </w:p>
          <w:p w:rsidR="008273D1" w:rsidRPr="009B6EFC" w:rsidRDefault="008273D1" w:rsidP="00410DE9">
            <w:r w:rsidRPr="009B6EFC">
              <w:rPr>
                <w:rFonts w:cs="AvenirLTStd-Light"/>
              </w:rPr>
              <w:t xml:space="preserve"> </w:t>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pPr>
              <w:autoSpaceDE w:val="0"/>
              <w:autoSpaceDN w:val="0"/>
              <w:adjustRightInd w:val="0"/>
            </w:pPr>
            <w:r w:rsidRPr="009B6EFC">
              <w:rPr>
                <w:rFonts w:cs="ArialNarrow"/>
              </w:rPr>
              <w:t>^ Judge Tim Connors, The Judges' Journal, Volume 50, Number 2, Spring 2011. © 2011 by the American Bar Association</w:t>
            </w:r>
          </w:p>
        </w:tc>
      </w:tr>
      <w:tr w:rsidR="008273D1" w:rsidRPr="009B6EFC" w:rsidTr="000A55BA">
        <w:tc>
          <w:tcPr>
            <w:tcW w:w="5598" w:type="dxa"/>
          </w:tcPr>
          <w:p w:rsidR="008273D1" w:rsidRPr="009B6EFC" w:rsidRDefault="008273D1" w:rsidP="00410DE9"/>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c>
          <w:tcPr>
            <w:tcW w:w="5598" w:type="dxa"/>
          </w:tcPr>
          <w:p w:rsidR="008273D1" w:rsidRPr="009B6EFC" w:rsidRDefault="008273D1" w:rsidP="00410DE9">
            <w:pPr>
              <w:rPr>
                <w:i/>
              </w:rPr>
            </w:pPr>
            <w:r w:rsidRPr="009B6EFC">
              <w:rPr>
                <w:i/>
              </w:rPr>
              <w:t xml:space="preserve">Improving Compliance with the Indian Child </w:t>
            </w:r>
          </w:p>
          <w:p w:rsidR="008273D1" w:rsidRPr="009B6EFC" w:rsidRDefault="008273D1" w:rsidP="00410DE9">
            <w:r w:rsidRPr="009B6EFC">
              <w:rPr>
                <w:i/>
              </w:rPr>
              <w:t xml:space="preserve">  Welfare Act – A guide for Juvenile and Family Courts</w:t>
            </w:r>
            <w:r w:rsidRPr="009B6EFC">
              <w:t xml:space="preserve">: </w:t>
            </w:r>
          </w:p>
          <w:p w:rsidR="008273D1" w:rsidRPr="009B6EFC" w:rsidRDefault="008273D1" w:rsidP="00410DE9">
            <w:r w:rsidRPr="009B6EFC">
              <w:t>National Council of Juvenile and Family Courts</w:t>
            </w:r>
          </w:p>
          <w:p w:rsidR="008273D1" w:rsidRPr="009B6EFC" w:rsidRDefault="008273D1" w:rsidP="00410DE9">
            <w:pPr>
              <w:rPr>
                <w:i/>
              </w:rPr>
            </w:pP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E76455" w:rsidP="00410DE9">
            <w:hyperlink r:id="rId11" w:history="1">
              <w:r w:rsidR="008273D1" w:rsidRPr="009B6EFC">
                <w:rPr>
                  <w:rStyle w:val="Hyperlink"/>
                </w:rPr>
                <w:t>www.ncjfcj.org</w:t>
              </w:r>
            </w:hyperlink>
          </w:p>
        </w:tc>
      </w:tr>
      <w:tr w:rsidR="008273D1" w:rsidRPr="009B6EFC" w:rsidTr="000A55BA">
        <w:tc>
          <w:tcPr>
            <w:tcW w:w="5598" w:type="dxa"/>
          </w:tcPr>
          <w:p w:rsidR="008273D1" w:rsidRPr="009B6EFC" w:rsidRDefault="008273D1" w:rsidP="00410DE9">
            <w:pPr>
              <w:rPr>
                <w:i/>
              </w:rPr>
            </w:pP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c>
          <w:tcPr>
            <w:tcW w:w="5598" w:type="dxa"/>
          </w:tcPr>
          <w:p w:rsidR="008273D1" w:rsidRPr="009B6EFC" w:rsidRDefault="008273D1" w:rsidP="00410DE9">
            <w:pPr>
              <w:autoSpaceDE w:val="0"/>
              <w:autoSpaceDN w:val="0"/>
              <w:adjustRightInd w:val="0"/>
              <w:rPr>
                <w:rFonts w:cs="TT184t00"/>
                <w:i/>
              </w:rPr>
            </w:pPr>
            <w:r w:rsidRPr="009B6EFC">
              <w:rPr>
                <w:rFonts w:cs="TT184t00"/>
                <w:i/>
              </w:rPr>
              <w:t>Indian Child Welfare Act Checklists</w:t>
            </w:r>
          </w:p>
          <w:p w:rsidR="008273D1" w:rsidRPr="009B6EFC" w:rsidRDefault="008273D1" w:rsidP="00410DE9">
            <w:pPr>
              <w:rPr>
                <w:rFonts w:cs="TT184t00"/>
                <w:i/>
              </w:rPr>
            </w:pPr>
            <w:r w:rsidRPr="009B6EFC">
              <w:rPr>
                <w:rFonts w:cs="TT184t00"/>
                <w:i/>
              </w:rPr>
              <w:t>for Juvenile and Family Court Judges:</w:t>
            </w:r>
          </w:p>
          <w:p w:rsidR="008273D1" w:rsidRPr="009B6EFC" w:rsidRDefault="008273D1" w:rsidP="00410DE9">
            <w:pPr>
              <w:rPr>
                <w:i/>
              </w:rPr>
            </w:pPr>
            <w:r w:rsidRPr="009B6EFC">
              <w:t>National Council of Juvenile and Family Courts</w:t>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E76455" w:rsidP="00410DE9">
            <w:hyperlink r:id="rId12" w:history="1">
              <w:r w:rsidR="008273D1" w:rsidRPr="009B6EFC">
                <w:rPr>
                  <w:rStyle w:val="Hyperlink"/>
                </w:rPr>
                <w:t>www.ncjfcj.org</w:t>
              </w:r>
            </w:hyperlink>
          </w:p>
        </w:tc>
      </w:tr>
      <w:tr w:rsidR="008273D1" w:rsidRPr="009B6EFC" w:rsidTr="000A55BA">
        <w:tc>
          <w:tcPr>
            <w:tcW w:w="5598" w:type="dxa"/>
          </w:tcPr>
          <w:p w:rsidR="008273D1" w:rsidRPr="009B6EFC" w:rsidRDefault="008273D1" w:rsidP="00410DE9">
            <w:pPr>
              <w:rPr>
                <w:i/>
              </w:rPr>
            </w:pP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c>
          <w:tcPr>
            <w:tcW w:w="5598" w:type="dxa"/>
          </w:tcPr>
          <w:p w:rsidR="008273D1" w:rsidRPr="009B6EFC" w:rsidRDefault="008273D1" w:rsidP="00410DE9">
            <w:pPr>
              <w:rPr>
                <w:i/>
              </w:rPr>
            </w:pPr>
            <w:r w:rsidRPr="009B6EFC">
              <w:rPr>
                <w:i/>
              </w:rPr>
              <w:t xml:space="preserve">California Judges </w:t>
            </w:r>
            <w:proofErr w:type="spellStart"/>
            <w:r w:rsidRPr="009B6EFC">
              <w:rPr>
                <w:i/>
              </w:rPr>
              <w:t>Benchguide</w:t>
            </w:r>
            <w:proofErr w:type="spellEnd"/>
            <w:r w:rsidRPr="009B6EFC">
              <w:rPr>
                <w:i/>
              </w:rPr>
              <w:t>- Indian Child Welfare Act</w:t>
            </w:r>
          </w:p>
          <w:p w:rsidR="008273D1" w:rsidRPr="009B6EFC" w:rsidRDefault="008273D1" w:rsidP="00410DE9">
            <w:pPr>
              <w:rPr>
                <w:i/>
              </w:rPr>
            </w:pPr>
            <w:r w:rsidRPr="009B6EFC">
              <w:t>California Indian Legal Services, 2012</w:t>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E76455" w:rsidP="00410DE9">
            <w:hyperlink r:id="rId13" w:history="1">
              <w:r w:rsidR="008273D1" w:rsidRPr="009B6EFC">
                <w:rPr>
                  <w:rStyle w:val="Hyperlink"/>
                </w:rPr>
                <w:t>www.calindian.org</w:t>
              </w:r>
            </w:hyperlink>
            <w:r w:rsidR="008273D1" w:rsidRPr="009B6EFC">
              <w:t xml:space="preserve"> </w:t>
            </w:r>
          </w:p>
        </w:tc>
      </w:tr>
      <w:tr w:rsidR="008273D1" w:rsidRPr="009B6EFC" w:rsidTr="000A55BA">
        <w:tc>
          <w:tcPr>
            <w:tcW w:w="5598" w:type="dxa"/>
          </w:tcPr>
          <w:p w:rsidR="008273D1" w:rsidRPr="009B6EFC" w:rsidRDefault="008273D1" w:rsidP="00410DE9">
            <w:pPr>
              <w:rPr>
                <w:i/>
              </w:rPr>
            </w:pP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rPr>
          <w:trHeight w:val="575"/>
        </w:trPr>
        <w:tc>
          <w:tcPr>
            <w:tcW w:w="5598" w:type="dxa"/>
          </w:tcPr>
          <w:p w:rsidR="008273D1" w:rsidRPr="009B6EFC" w:rsidRDefault="008273D1" w:rsidP="00410DE9">
            <w:pPr>
              <w:suppressLineNumbers/>
              <w:rPr>
                <w:rFonts w:cs="Times New Roman"/>
                <w:i/>
              </w:rPr>
            </w:pPr>
            <w:r w:rsidRPr="009B6EFC">
              <w:rPr>
                <w:rFonts w:cs="Times New Roman"/>
                <w:i/>
              </w:rPr>
              <w:t>American Bar Association, Indian Child Welfare Act</w:t>
            </w:r>
          </w:p>
          <w:p w:rsidR="008273D1" w:rsidRPr="009B6EFC" w:rsidRDefault="008273D1" w:rsidP="00410DE9">
            <w:pPr>
              <w:suppressLineNumbers/>
              <w:rPr>
                <w:rFonts w:cs="Times New Roman"/>
                <w:i/>
              </w:rPr>
            </w:pPr>
            <w:r w:rsidRPr="009B6EFC">
              <w:rPr>
                <w:rFonts w:cs="Times New Roman"/>
                <w:i/>
              </w:rPr>
              <w:t>Resolution</w:t>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r w:rsidRPr="009B6EFC">
              <w:rPr>
                <w:rStyle w:val="citation"/>
                <w:lang w:val="en"/>
              </w:rPr>
              <w:t>American Bar Association</w:t>
            </w:r>
            <w:r w:rsidRPr="009B6EFC">
              <w:rPr>
                <w:rStyle w:val="reference-accessdate"/>
                <w:lang w:val="en"/>
              </w:rPr>
              <w:t>. Retrieved August 12, 2013</w:t>
            </w:r>
          </w:p>
        </w:tc>
      </w:tr>
      <w:tr w:rsidR="008273D1" w:rsidRPr="009B6EFC" w:rsidTr="000A55BA">
        <w:tc>
          <w:tcPr>
            <w:tcW w:w="5598" w:type="dxa"/>
          </w:tcPr>
          <w:p w:rsidR="008273D1" w:rsidRPr="009B6EFC" w:rsidRDefault="008273D1" w:rsidP="00410DE9">
            <w:pPr>
              <w:rPr>
                <w:i/>
              </w:rPr>
            </w:pP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tc>
      </w:tr>
      <w:tr w:rsidR="008273D1" w:rsidRPr="009B6EFC" w:rsidTr="000A55BA">
        <w:trPr>
          <w:trHeight w:val="935"/>
        </w:trPr>
        <w:tc>
          <w:tcPr>
            <w:tcW w:w="5598" w:type="dxa"/>
          </w:tcPr>
          <w:p w:rsidR="008273D1" w:rsidRPr="009B6EFC" w:rsidRDefault="008273D1" w:rsidP="00410DE9">
            <w:pPr>
              <w:pStyle w:val="Heading1"/>
              <w:outlineLvl w:val="0"/>
              <w:rPr>
                <w:rFonts w:asciiTheme="minorHAnsi" w:hAnsiTheme="minorHAnsi"/>
                <w:i/>
                <w:sz w:val="22"/>
                <w:szCs w:val="22"/>
              </w:rPr>
            </w:pPr>
            <w:r w:rsidRPr="009B6EFC">
              <w:rPr>
                <w:rFonts w:asciiTheme="minorHAnsi" w:hAnsiTheme="minorHAnsi"/>
                <w:i/>
                <w:sz w:val="22"/>
                <w:szCs w:val="22"/>
              </w:rPr>
              <w:t>The Indian Child Welfare Act: The need for a separate law</w:t>
            </w:r>
          </w:p>
        </w:tc>
        <w:tc>
          <w:tcPr>
            <w:tcW w:w="360" w:type="dxa"/>
          </w:tcPr>
          <w:p w:rsidR="008273D1" w:rsidRPr="009B6EFC" w:rsidRDefault="008273D1" w:rsidP="00410DE9"/>
        </w:tc>
        <w:tc>
          <w:tcPr>
            <w:tcW w:w="3960" w:type="dxa"/>
            <w:shd w:val="clear" w:color="auto" w:fill="DBE5F1" w:themeFill="accent1" w:themeFillTint="33"/>
          </w:tcPr>
          <w:p w:rsidR="008273D1" w:rsidRPr="009B6EFC" w:rsidRDefault="008273D1" w:rsidP="00410DE9">
            <w:r w:rsidRPr="009B6EFC">
              <w:t xml:space="preserve">^B.J. Jones, </w:t>
            </w:r>
            <w:r w:rsidRPr="009B6EFC">
              <w:rPr>
                <w:rStyle w:val="citation"/>
                <w:i/>
                <w:iCs/>
                <w:lang w:val="en"/>
              </w:rPr>
              <w:t>General Practice, Solo &amp; Small Firm Division</w:t>
            </w:r>
            <w:r w:rsidRPr="009B6EFC">
              <w:rPr>
                <w:rStyle w:val="citation"/>
                <w:lang w:val="en"/>
              </w:rPr>
              <w:t>. American Bar Association</w:t>
            </w:r>
            <w:r w:rsidRPr="009B6EFC">
              <w:rPr>
                <w:rStyle w:val="reference-accessdate"/>
                <w:lang w:val="en"/>
              </w:rPr>
              <w:t>. Retrieved April 13, 2010</w:t>
            </w:r>
          </w:p>
        </w:tc>
      </w:tr>
    </w:tbl>
    <w:p w:rsidR="008273D1" w:rsidRPr="00652581" w:rsidRDefault="008273D1" w:rsidP="000A55BA">
      <w:pPr>
        <w:autoSpaceDE w:val="0"/>
        <w:autoSpaceDN w:val="0"/>
        <w:adjustRightInd w:val="0"/>
        <w:spacing w:after="0" w:line="240" w:lineRule="auto"/>
        <w:rPr>
          <w:rFonts w:cs="Times New Roman"/>
          <w:sz w:val="28"/>
          <w:szCs w:val="28"/>
        </w:rPr>
      </w:pPr>
    </w:p>
    <w:sectPr w:rsidR="008273D1" w:rsidRPr="00652581" w:rsidSect="00E570AA">
      <w:pgSz w:w="12240" w:h="16340"/>
      <w:pgMar w:top="720" w:right="965" w:bottom="677" w:left="12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LTStd-Heavy">
    <w:panose1 w:val="00000000000000000000"/>
    <w:charset w:val="00"/>
    <w:family w:val="swiss"/>
    <w:notTrueType/>
    <w:pitch w:val="default"/>
    <w:sig w:usb0="00000003" w:usb1="00000000" w:usb2="00000000" w:usb3="00000000" w:csb0="00000001" w:csb1="00000000"/>
  </w:font>
  <w:font w:name="AvenirLTStd-Roman">
    <w:panose1 w:val="00000000000000000000"/>
    <w:charset w:val="00"/>
    <w:family w:val="swiss"/>
    <w:notTrueType/>
    <w:pitch w:val="default"/>
    <w:sig w:usb0="00000003" w:usb1="00000000" w:usb2="00000000" w:usb3="00000000" w:csb0="00000001" w:csb1="00000000"/>
  </w:font>
  <w:font w:name="AvenirLTStd-Light">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TT184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386A"/>
    <w:multiLevelType w:val="hybridMultilevel"/>
    <w:tmpl w:val="5BA64CAE"/>
    <w:lvl w:ilvl="0" w:tplc="0304EF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C5377"/>
    <w:multiLevelType w:val="multilevel"/>
    <w:tmpl w:val="63FA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32A3C"/>
    <w:multiLevelType w:val="multilevel"/>
    <w:tmpl w:val="124A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78"/>
    <w:rsid w:val="000000A2"/>
    <w:rsid w:val="00011C9C"/>
    <w:rsid w:val="000347AC"/>
    <w:rsid w:val="000474C2"/>
    <w:rsid w:val="00062FAF"/>
    <w:rsid w:val="000756D8"/>
    <w:rsid w:val="000918D4"/>
    <w:rsid w:val="000A55BA"/>
    <w:rsid w:val="000D47DB"/>
    <w:rsid w:val="00117745"/>
    <w:rsid w:val="0015509D"/>
    <w:rsid w:val="00171AA1"/>
    <w:rsid w:val="0018593C"/>
    <w:rsid w:val="001A07B2"/>
    <w:rsid w:val="001B1458"/>
    <w:rsid w:val="001D4CAF"/>
    <w:rsid w:val="001F59EE"/>
    <w:rsid w:val="0020217E"/>
    <w:rsid w:val="0025391E"/>
    <w:rsid w:val="00265DCA"/>
    <w:rsid w:val="00266406"/>
    <w:rsid w:val="002722FA"/>
    <w:rsid w:val="00293FCD"/>
    <w:rsid w:val="00297FED"/>
    <w:rsid w:val="002D6392"/>
    <w:rsid w:val="002E3072"/>
    <w:rsid w:val="002E7390"/>
    <w:rsid w:val="002F3FA9"/>
    <w:rsid w:val="00306665"/>
    <w:rsid w:val="003433C1"/>
    <w:rsid w:val="00351ADC"/>
    <w:rsid w:val="00371BF2"/>
    <w:rsid w:val="00374083"/>
    <w:rsid w:val="0038204E"/>
    <w:rsid w:val="003844B3"/>
    <w:rsid w:val="003A48F4"/>
    <w:rsid w:val="003D01EE"/>
    <w:rsid w:val="003D7078"/>
    <w:rsid w:val="003E5DC3"/>
    <w:rsid w:val="003F59C2"/>
    <w:rsid w:val="00410BA8"/>
    <w:rsid w:val="004236AB"/>
    <w:rsid w:val="00426C85"/>
    <w:rsid w:val="00431C69"/>
    <w:rsid w:val="00433B62"/>
    <w:rsid w:val="004741A8"/>
    <w:rsid w:val="00475CB6"/>
    <w:rsid w:val="00476C73"/>
    <w:rsid w:val="00493854"/>
    <w:rsid w:val="00496DA3"/>
    <w:rsid w:val="004970F2"/>
    <w:rsid w:val="004C7848"/>
    <w:rsid w:val="0050371B"/>
    <w:rsid w:val="00507F7E"/>
    <w:rsid w:val="00513050"/>
    <w:rsid w:val="00523E31"/>
    <w:rsid w:val="005333EE"/>
    <w:rsid w:val="00543801"/>
    <w:rsid w:val="00556233"/>
    <w:rsid w:val="00565800"/>
    <w:rsid w:val="005660A0"/>
    <w:rsid w:val="005B3365"/>
    <w:rsid w:val="005C3D59"/>
    <w:rsid w:val="005D1065"/>
    <w:rsid w:val="005D1784"/>
    <w:rsid w:val="005E0183"/>
    <w:rsid w:val="006023F1"/>
    <w:rsid w:val="006070E7"/>
    <w:rsid w:val="00612E70"/>
    <w:rsid w:val="006150E1"/>
    <w:rsid w:val="00652581"/>
    <w:rsid w:val="006639E6"/>
    <w:rsid w:val="006842CD"/>
    <w:rsid w:val="00692A44"/>
    <w:rsid w:val="00694102"/>
    <w:rsid w:val="006A5992"/>
    <w:rsid w:val="006A7826"/>
    <w:rsid w:val="006B578B"/>
    <w:rsid w:val="006C4453"/>
    <w:rsid w:val="006D4884"/>
    <w:rsid w:val="006E2C9B"/>
    <w:rsid w:val="006E419F"/>
    <w:rsid w:val="00713A42"/>
    <w:rsid w:val="00716356"/>
    <w:rsid w:val="007408B7"/>
    <w:rsid w:val="007411FF"/>
    <w:rsid w:val="00753490"/>
    <w:rsid w:val="00757658"/>
    <w:rsid w:val="00765899"/>
    <w:rsid w:val="007701AD"/>
    <w:rsid w:val="00771538"/>
    <w:rsid w:val="00774F6F"/>
    <w:rsid w:val="007A0849"/>
    <w:rsid w:val="007F521C"/>
    <w:rsid w:val="007F5286"/>
    <w:rsid w:val="007F5E0B"/>
    <w:rsid w:val="008005F9"/>
    <w:rsid w:val="0080377E"/>
    <w:rsid w:val="0082604A"/>
    <w:rsid w:val="008273D1"/>
    <w:rsid w:val="008335AC"/>
    <w:rsid w:val="00847590"/>
    <w:rsid w:val="008D42AE"/>
    <w:rsid w:val="008E2436"/>
    <w:rsid w:val="008E6B6E"/>
    <w:rsid w:val="008F39E8"/>
    <w:rsid w:val="009044BD"/>
    <w:rsid w:val="00910A57"/>
    <w:rsid w:val="00914875"/>
    <w:rsid w:val="00926C06"/>
    <w:rsid w:val="0096664E"/>
    <w:rsid w:val="009700F0"/>
    <w:rsid w:val="00973581"/>
    <w:rsid w:val="009950A4"/>
    <w:rsid w:val="009B6EFC"/>
    <w:rsid w:val="009E23AE"/>
    <w:rsid w:val="00A11BAC"/>
    <w:rsid w:val="00A17F0F"/>
    <w:rsid w:val="00A2338F"/>
    <w:rsid w:val="00A32A60"/>
    <w:rsid w:val="00A3350E"/>
    <w:rsid w:val="00A54ADA"/>
    <w:rsid w:val="00A56CE7"/>
    <w:rsid w:val="00A56D0D"/>
    <w:rsid w:val="00A75DC0"/>
    <w:rsid w:val="00A906E9"/>
    <w:rsid w:val="00AC4E1A"/>
    <w:rsid w:val="00B04435"/>
    <w:rsid w:val="00B16F03"/>
    <w:rsid w:val="00B303D4"/>
    <w:rsid w:val="00B31928"/>
    <w:rsid w:val="00B66D54"/>
    <w:rsid w:val="00B71A88"/>
    <w:rsid w:val="00B82442"/>
    <w:rsid w:val="00BA1A25"/>
    <w:rsid w:val="00BA66E7"/>
    <w:rsid w:val="00BE1CD2"/>
    <w:rsid w:val="00BF64BB"/>
    <w:rsid w:val="00BF6998"/>
    <w:rsid w:val="00BF738F"/>
    <w:rsid w:val="00C030CA"/>
    <w:rsid w:val="00C10DC5"/>
    <w:rsid w:val="00C45CA3"/>
    <w:rsid w:val="00C8531A"/>
    <w:rsid w:val="00CA6FE6"/>
    <w:rsid w:val="00CE009B"/>
    <w:rsid w:val="00D22814"/>
    <w:rsid w:val="00D27F7D"/>
    <w:rsid w:val="00D57FE4"/>
    <w:rsid w:val="00D65842"/>
    <w:rsid w:val="00D9341A"/>
    <w:rsid w:val="00DC320E"/>
    <w:rsid w:val="00DE69CA"/>
    <w:rsid w:val="00DF5CC4"/>
    <w:rsid w:val="00E02B95"/>
    <w:rsid w:val="00E044E3"/>
    <w:rsid w:val="00E04912"/>
    <w:rsid w:val="00E145A4"/>
    <w:rsid w:val="00E1649C"/>
    <w:rsid w:val="00E20A03"/>
    <w:rsid w:val="00E22BA6"/>
    <w:rsid w:val="00E3232D"/>
    <w:rsid w:val="00E353DC"/>
    <w:rsid w:val="00E41EDE"/>
    <w:rsid w:val="00E570AA"/>
    <w:rsid w:val="00E76455"/>
    <w:rsid w:val="00E77C95"/>
    <w:rsid w:val="00EA7C27"/>
    <w:rsid w:val="00EC7893"/>
    <w:rsid w:val="00EE4F20"/>
    <w:rsid w:val="00EE637C"/>
    <w:rsid w:val="00EF00CD"/>
    <w:rsid w:val="00F13BEA"/>
    <w:rsid w:val="00F20E95"/>
    <w:rsid w:val="00F3796A"/>
    <w:rsid w:val="00F42F89"/>
    <w:rsid w:val="00F77C35"/>
    <w:rsid w:val="00F80BD4"/>
    <w:rsid w:val="00F80D50"/>
    <w:rsid w:val="00F8765C"/>
    <w:rsid w:val="00F90F73"/>
    <w:rsid w:val="00FF7518"/>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652581"/>
    <w:pPr>
      <w:outlineLvl w:val="0"/>
    </w:pPr>
    <w:rPr>
      <w:rFonts w:ascii="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078"/>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9"/>
    <w:rsid w:val="00652581"/>
    <w:rPr>
      <w:rFonts w:ascii="Times New Roman" w:hAnsi="Times New Roman" w:cs="Times New Roman"/>
      <w:sz w:val="24"/>
      <w:szCs w:val="24"/>
    </w:rPr>
  </w:style>
  <w:style w:type="paragraph" w:styleId="Header">
    <w:name w:val="header"/>
    <w:basedOn w:val="Default"/>
    <w:next w:val="Default"/>
    <w:link w:val="HeaderChar"/>
    <w:uiPriority w:val="99"/>
    <w:rsid w:val="00652581"/>
    <w:rPr>
      <w:rFonts w:ascii="Times New Roman" w:hAnsi="Times New Roman" w:cs="Times New Roman"/>
      <w:color w:val="auto"/>
    </w:rPr>
  </w:style>
  <w:style w:type="character" w:customStyle="1" w:styleId="HeaderChar">
    <w:name w:val="Header Char"/>
    <w:basedOn w:val="DefaultParagraphFont"/>
    <w:link w:val="Header"/>
    <w:uiPriority w:val="99"/>
    <w:rsid w:val="00652581"/>
    <w:rPr>
      <w:rFonts w:ascii="Times New Roman" w:hAnsi="Times New Roman" w:cs="Times New Roman"/>
      <w:sz w:val="24"/>
      <w:szCs w:val="24"/>
    </w:rPr>
  </w:style>
  <w:style w:type="paragraph" w:styleId="ListParagraph">
    <w:name w:val="List Paragraph"/>
    <w:basedOn w:val="Normal"/>
    <w:uiPriority w:val="34"/>
    <w:qFormat/>
    <w:rsid w:val="00A75DC0"/>
    <w:pPr>
      <w:ind w:left="720"/>
      <w:contextualSpacing/>
    </w:pPr>
  </w:style>
  <w:style w:type="character" w:styleId="Hyperlink">
    <w:name w:val="Hyperlink"/>
    <w:basedOn w:val="DefaultParagraphFont"/>
    <w:uiPriority w:val="99"/>
    <w:unhideWhenUsed/>
    <w:rsid w:val="008F39E8"/>
    <w:rPr>
      <w:color w:val="0000FF" w:themeColor="hyperlink"/>
      <w:u w:val="single"/>
    </w:rPr>
  </w:style>
  <w:style w:type="character" w:styleId="FollowedHyperlink">
    <w:name w:val="FollowedHyperlink"/>
    <w:basedOn w:val="DefaultParagraphFont"/>
    <w:uiPriority w:val="99"/>
    <w:semiHidden/>
    <w:unhideWhenUsed/>
    <w:rsid w:val="00B82442"/>
    <w:rPr>
      <w:color w:val="800080" w:themeColor="followedHyperlink"/>
      <w:u w:val="single"/>
    </w:rPr>
  </w:style>
  <w:style w:type="table" w:styleId="TableGrid">
    <w:name w:val="Table Grid"/>
    <w:basedOn w:val="TableNormal"/>
    <w:uiPriority w:val="59"/>
    <w:rsid w:val="00E77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
    <w:name w:val="citation"/>
    <w:basedOn w:val="DefaultParagraphFont"/>
    <w:rsid w:val="008273D1"/>
  </w:style>
  <w:style w:type="character" w:customStyle="1" w:styleId="reference-accessdate">
    <w:name w:val="reference-accessdate"/>
    <w:basedOn w:val="DefaultParagraphFont"/>
    <w:rsid w:val="00827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652581"/>
    <w:pPr>
      <w:outlineLvl w:val="0"/>
    </w:pPr>
    <w:rPr>
      <w:rFonts w:ascii="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078"/>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9"/>
    <w:rsid w:val="00652581"/>
    <w:rPr>
      <w:rFonts w:ascii="Times New Roman" w:hAnsi="Times New Roman" w:cs="Times New Roman"/>
      <w:sz w:val="24"/>
      <w:szCs w:val="24"/>
    </w:rPr>
  </w:style>
  <w:style w:type="paragraph" w:styleId="Header">
    <w:name w:val="header"/>
    <w:basedOn w:val="Default"/>
    <w:next w:val="Default"/>
    <w:link w:val="HeaderChar"/>
    <w:uiPriority w:val="99"/>
    <w:rsid w:val="00652581"/>
    <w:rPr>
      <w:rFonts w:ascii="Times New Roman" w:hAnsi="Times New Roman" w:cs="Times New Roman"/>
      <w:color w:val="auto"/>
    </w:rPr>
  </w:style>
  <w:style w:type="character" w:customStyle="1" w:styleId="HeaderChar">
    <w:name w:val="Header Char"/>
    <w:basedOn w:val="DefaultParagraphFont"/>
    <w:link w:val="Header"/>
    <w:uiPriority w:val="99"/>
    <w:rsid w:val="00652581"/>
    <w:rPr>
      <w:rFonts w:ascii="Times New Roman" w:hAnsi="Times New Roman" w:cs="Times New Roman"/>
      <w:sz w:val="24"/>
      <w:szCs w:val="24"/>
    </w:rPr>
  </w:style>
  <w:style w:type="paragraph" w:styleId="ListParagraph">
    <w:name w:val="List Paragraph"/>
    <w:basedOn w:val="Normal"/>
    <w:uiPriority w:val="34"/>
    <w:qFormat/>
    <w:rsid w:val="00A75DC0"/>
    <w:pPr>
      <w:ind w:left="720"/>
      <w:contextualSpacing/>
    </w:pPr>
  </w:style>
  <w:style w:type="character" w:styleId="Hyperlink">
    <w:name w:val="Hyperlink"/>
    <w:basedOn w:val="DefaultParagraphFont"/>
    <w:uiPriority w:val="99"/>
    <w:unhideWhenUsed/>
    <w:rsid w:val="008F39E8"/>
    <w:rPr>
      <w:color w:val="0000FF" w:themeColor="hyperlink"/>
      <w:u w:val="single"/>
    </w:rPr>
  </w:style>
  <w:style w:type="character" w:styleId="FollowedHyperlink">
    <w:name w:val="FollowedHyperlink"/>
    <w:basedOn w:val="DefaultParagraphFont"/>
    <w:uiPriority w:val="99"/>
    <w:semiHidden/>
    <w:unhideWhenUsed/>
    <w:rsid w:val="00B82442"/>
    <w:rPr>
      <w:color w:val="800080" w:themeColor="followedHyperlink"/>
      <w:u w:val="single"/>
    </w:rPr>
  </w:style>
  <w:style w:type="table" w:styleId="TableGrid">
    <w:name w:val="Table Grid"/>
    <w:basedOn w:val="TableNormal"/>
    <w:uiPriority w:val="59"/>
    <w:rsid w:val="00E77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
    <w:name w:val="citation"/>
    <w:basedOn w:val="DefaultParagraphFont"/>
    <w:rsid w:val="008273D1"/>
  </w:style>
  <w:style w:type="character" w:customStyle="1" w:styleId="reference-accessdate">
    <w:name w:val="reference-accessdate"/>
    <w:basedOn w:val="DefaultParagraphFont"/>
    <w:rsid w:val="0082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2107">
      <w:bodyDiv w:val="1"/>
      <w:marLeft w:val="0"/>
      <w:marRight w:val="0"/>
      <w:marTop w:val="0"/>
      <w:marBottom w:val="0"/>
      <w:divBdr>
        <w:top w:val="none" w:sz="0" w:space="0" w:color="auto"/>
        <w:left w:val="none" w:sz="0" w:space="0" w:color="auto"/>
        <w:bottom w:val="none" w:sz="0" w:space="0" w:color="auto"/>
        <w:right w:val="none" w:sz="0" w:space="0" w:color="auto"/>
      </w:divBdr>
    </w:div>
    <w:div w:id="359820972">
      <w:bodyDiv w:val="1"/>
      <w:marLeft w:val="0"/>
      <w:marRight w:val="0"/>
      <w:marTop w:val="0"/>
      <w:marBottom w:val="0"/>
      <w:divBdr>
        <w:top w:val="none" w:sz="0" w:space="0" w:color="auto"/>
        <w:left w:val="none" w:sz="0" w:space="0" w:color="auto"/>
        <w:bottom w:val="none" w:sz="0" w:space="0" w:color="auto"/>
        <w:right w:val="none" w:sz="0" w:space="0" w:color="auto"/>
      </w:divBdr>
      <w:divsChild>
        <w:div w:id="565457954">
          <w:marLeft w:val="0"/>
          <w:marRight w:val="0"/>
          <w:marTop w:val="100"/>
          <w:marBottom w:val="100"/>
          <w:divBdr>
            <w:top w:val="none" w:sz="0" w:space="0" w:color="auto"/>
            <w:left w:val="none" w:sz="0" w:space="0" w:color="auto"/>
            <w:bottom w:val="none" w:sz="0" w:space="0" w:color="auto"/>
            <w:right w:val="none" w:sz="0" w:space="0" w:color="auto"/>
          </w:divBdr>
          <w:divsChild>
            <w:div w:id="1811941427">
              <w:marLeft w:val="0"/>
              <w:marRight w:val="0"/>
              <w:marTop w:val="0"/>
              <w:marBottom w:val="0"/>
              <w:divBdr>
                <w:top w:val="none" w:sz="0" w:space="0" w:color="auto"/>
                <w:left w:val="none" w:sz="0" w:space="0" w:color="auto"/>
                <w:bottom w:val="none" w:sz="0" w:space="0" w:color="auto"/>
                <w:right w:val="none" w:sz="0" w:space="0" w:color="auto"/>
              </w:divBdr>
              <w:divsChild>
                <w:div w:id="933827965">
                  <w:marLeft w:val="0"/>
                  <w:marRight w:val="0"/>
                  <w:marTop w:val="0"/>
                  <w:marBottom w:val="0"/>
                  <w:divBdr>
                    <w:top w:val="none" w:sz="0" w:space="0" w:color="auto"/>
                    <w:left w:val="none" w:sz="0" w:space="0" w:color="auto"/>
                    <w:bottom w:val="none" w:sz="0" w:space="0" w:color="auto"/>
                    <w:right w:val="none" w:sz="0" w:space="0" w:color="auto"/>
                  </w:divBdr>
                  <w:divsChild>
                    <w:div w:id="1122576845">
                      <w:marLeft w:val="225"/>
                      <w:marRight w:val="0"/>
                      <w:marTop w:val="0"/>
                      <w:marBottom w:val="0"/>
                      <w:divBdr>
                        <w:top w:val="none" w:sz="0" w:space="0" w:color="auto"/>
                        <w:left w:val="none" w:sz="0" w:space="0" w:color="auto"/>
                        <w:bottom w:val="none" w:sz="0" w:space="0" w:color="auto"/>
                        <w:right w:val="none" w:sz="0" w:space="0" w:color="auto"/>
                      </w:divBdr>
                      <w:divsChild>
                        <w:div w:id="14527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64676">
      <w:bodyDiv w:val="1"/>
      <w:marLeft w:val="0"/>
      <w:marRight w:val="0"/>
      <w:marTop w:val="0"/>
      <w:marBottom w:val="0"/>
      <w:divBdr>
        <w:top w:val="none" w:sz="0" w:space="0" w:color="auto"/>
        <w:left w:val="none" w:sz="0" w:space="0" w:color="auto"/>
        <w:bottom w:val="none" w:sz="0" w:space="0" w:color="auto"/>
        <w:right w:val="none" w:sz="0" w:space="0" w:color="auto"/>
      </w:divBdr>
      <w:divsChild>
        <w:div w:id="525799317">
          <w:marLeft w:val="0"/>
          <w:marRight w:val="0"/>
          <w:marTop w:val="100"/>
          <w:marBottom w:val="100"/>
          <w:divBdr>
            <w:top w:val="none" w:sz="0" w:space="0" w:color="auto"/>
            <w:left w:val="none" w:sz="0" w:space="0" w:color="auto"/>
            <w:bottom w:val="none" w:sz="0" w:space="0" w:color="auto"/>
            <w:right w:val="none" w:sz="0" w:space="0" w:color="auto"/>
          </w:divBdr>
          <w:divsChild>
            <w:div w:id="1022049302">
              <w:marLeft w:val="0"/>
              <w:marRight w:val="0"/>
              <w:marTop w:val="0"/>
              <w:marBottom w:val="0"/>
              <w:divBdr>
                <w:top w:val="none" w:sz="0" w:space="0" w:color="auto"/>
                <w:left w:val="none" w:sz="0" w:space="0" w:color="auto"/>
                <w:bottom w:val="none" w:sz="0" w:space="0" w:color="auto"/>
                <w:right w:val="none" w:sz="0" w:space="0" w:color="auto"/>
              </w:divBdr>
              <w:divsChild>
                <w:div w:id="1136684755">
                  <w:marLeft w:val="0"/>
                  <w:marRight w:val="0"/>
                  <w:marTop w:val="0"/>
                  <w:marBottom w:val="0"/>
                  <w:divBdr>
                    <w:top w:val="none" w:sz="0" w:space="0" w:color="auto"/>
                    <w:left w:val="none" w:sz="0" w:space="0" w:color="auto"/>
                    <w:bottom w:val="none" w:sz="0" w:space="0" w:color="auto"/>
                    <w:right w:val="none" w:sz="0" w:space="0" w:color="auto"/>
                  </w:divBdr>
                  <w:divsChild>
                    <w:div w:id="243224720">
                      <w:marLeft w:val="225"/>
                      <w:marRight w:val="0"/>
                      <w:marTop w:val="0"/>
                      <w:marBottom w:val="0"/>
                      <w:divBdr>
                        <w:top w:val="none" w:sz="0" w:space="0" w:color="auto"/>
                        <w:left w:val="none" w:sz="0" w:space="0" w:color="auto"/>
                        <w:bottom w:val="none" w:sz="0" w:space="0" w:color="auto"/>
                        <w:right w:val="none" w:sz="0" w:space="0" w:color="auto"/>
                      </w:divBdr>
                      <w:divsChild>
                        <w:div w:id="411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5807.htm" TargetMode="External"/><Relationship Id="rId13" Type="http://schemas.openxmlformats.org/officeDocument/2006/relationships/hyperlink" Target="http://www.calindian.org" TargetMode="External"/><Relationship Id="rId3" Type="http://schemas.microsoft.com/office/2007/relationships/stylesWithEffects" Target="stylesWithEffects.xml"/><Relationship Id="rId7" Type="http://schemas.openxmlformats.org/officeDocument/2006/relationships/hyperlink" Target="http://www.courts.ca.gov/3067.htm" TargetMode="External"/><Relationship Id="rId12" Type="http://schemas.openxmlformats.org/officeDocument/2006/relationships/hyperlink" Target="http://www.ncjfc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mith@indiancenter.org" TargetMode="External"/><Relationship Id="rId11" Type="http://schemas.openxmlformats.org/officeDocument/2006/relationships/hyperlink" Target="http://www.ncjfcj.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ilyyonder.com/indian-adoptions/2010/03/12/2637" TargetMode="External"/><Relationship Id="rId4" Type="http://schemas.openxmlformats.org/officeDocument/2006/relationships/settings" Target="settings.xml"/><Relationship Id="rId9" Type="http://schemas.openxmlformats.org/officeDocument/2006/relationships/hyperlink" Target="http://www.ncjfcj.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Provision Services</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Duarte</dc:creator>
  <cp:lastModifiedBy>Yolanda Duarte</cp:lastModifiedBy>
  <cp:revision>4</cp:revision>
  <dcterms:created xsi:type="dcterms:W3CDTF">2014-03-12T21:54:00Z</dcterms:created>
  <dcterms:modified xsi:type="dcterms:W3CDTF">2014-03-26T03:02:00Z</dcterms:modified>
</cp:coreProperties>
</file>